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5A1D8" w14:textId="51DE3232" w:rsidR="00F60F8B" w:rsidRDefault="00F60F8B" w:rsidP="00F60F8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w:t>
      </w:r>
      <w:r w:rsidR="00DA4F5C">
        <w:rPr>
          <w:rFonts w:ascii="Arial" w:eastAsiaTheme="minorEastAsia" w:hAnsi="Arial" w:cs="Arial"/>
          <w:b/>
          <w:sz w:val="24"/>
          <w:szCs w:val="24"/>
          <w:lang w:eastAsia="zh-CN"/>
        </w:rPr>
        <w:t>6-bis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21CF">
        <w:rPr>
          <w:rFonts w:ascii="Arial" w:eastAsiaTheme="minorEastAsia" w:hAnsi="Arial" w:cs="Arial"/>
          <w:b/>
          <w:sz w:val="24"/>
          <w:szCs w:val="24"/>
          <w:lang w:eastAsia="zh-CN"/>
        </w:rPr>
        <w:t xml:space="preserve"> </w:t>
      </w:r>
      <w:r w:rsidR="00CC21CF" w:rsidRPr="00CC21CF">
        <w:rPr>
          <w:rFonts w:ascii="Arial" w:eastAsiaTheme="minorEastAsia" w:hAnsi="Arial" w:cs="Arial"/>
          <w:b/>
          <w:sz w:val="24"/>
          <w:szCs w:val="24"/>
          <w:lang w:eastAsia="zh-CN"/>
        </w:rPr>
        <w:t>R4-2513735</w:t>
      </w:r>
    </w:p>
    <w:p w14:paraId="452EB323" w14:textId="244583CE" w:rsidR="00F60F8B" w:rsidRDefault="00DA4F5C" w:rsidP="00F60F8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Prague</w:t>
      </w:r>
      <w:r w:rsidR="00F60F8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Czech</w:t>
      </w:r>
      <w:r w:rsidR="00F60F8B">
        <w:rPr>
          <w:rFonts w:ascii="Arial" w:eastAsiaTheme="minorEastAsia" w:hAnsi="Arial" w:cs="Arial"/>
          <w:b/>
          <w:sz w:val="24"/>
          <w:szCs w:val="24"/>
          <w:lang w:eastAsia="zh-CN"/>
        </w:rPr>
        <w:t>, 1</w:t>
      </w:r>
      <w:r>
        <w:rPr>
          <w:rFonts w:ascii="Arial" w:eastAsiaTheme="minorEastAsia" w:hAnsi="Arial" w:cs="Arial"/>
          <w:b/>
          <w:sz w:val="24"/>
          <w:szCs w:val="24"/>
          <w:lang w:eastAsia="zh-CN"/>
        </w:rPr>
        <w:t>3</w:t>
      </w:r>
      <w:r w:rsidR="00F60F8B" w:rsidRPr="00F7257A">
        <w:rPr>
          <w:rFonts w:ascii="Arial" w:eastAsiaTheme="minorEastAsia" w:hAnsi="Arial" w:cs="Arial"/>
          <w:b/>
          <w:sz w:val="24"/>
          <w:szCs w:val="24"/>
          <w:vertAlign w:val="superscript"/>
          <w:lang w:eastAsia="zh-CN"/>
        </w:rPr>
        <w:t>th</w:t>
      </w:r>
      <w:r w:rsidR="00F60F8B">
        <w:rPr>
          <w:rFonts w:ascii="Arial" w:eastAsiaTheme="minorEastAsia" w:hAnsi="Arial" w:cs="Arial"/>
          <w:b/>
          <w:sz w:val="24"/>
          <w:szCs w:val="24"/>
          <w:lang w:eastAsia="zh-CN"/>
        </w:rPr>
        <w:t xml:space="preserve"> </w:t>
      </w:r>
      <w:r w:rsidR="00F60F8B">
        <w:rPr>
          <w:rFonts w:ascii="Arial" w:hAnsi="Arial"/>
          <w:b/>
          <w:sz w:val="24"/>
          <w:szCs w:val="24"/>
          <w:lang w:eastAsia="zh-CN"/>
        </w:rPr>
        <w:t xml:space="preserve">– </w:t>
      </w:r>
      <w:r>
        <w:rPr>
          <w:rFonts w:ascii="Arial" w:hAnsi="Arial"/>
          <w:b/>
          <w:sz w:val="24"/>
          <w:szCs w:val="24"/>
          <w:lang w:eastAsia="zh-CN"/>
        </w:rPr>
        <w:t>17</w:t>
      </w:r>
      <w:r w:rsidR="00A1257F" w:rsidRPr="00A1257F">
        <w:rPr>
          <w:rFonts w:ascii="Arial" w:hAnsi="Arial"/>
          <w:b/>
          <w:sz w:val="24"/>
          <w:szCs w:val="24"/>
          <w:vertAlign w:val="superscript"/>
          <w:lang w:eastAsia="zh-CN"/>
        </w:rPr>
        <w:t>t</w:t>
      </w:r>
      <w:r>
        <w:rPr>
          <w:rFonts w:ascii="Arial" w:hAnsi="Arial"/>
          <w:b/>
          <w:sz w:val="24"/>
          <w:szCs w:val="24"/>
          <w:vertAlign w:val="superscript"/>
          <w:lang w:eastAsia="zh-CN"/>
        </w:rPr>
        <w:t>h</w:t>
      </w:r>
      <w:r w:rsidR="00A1257F">
        <w:rPr>
          <w:rFonts w:ascii="Arial" w:hAnsi="Arial"/>
          <w:b/>
          <w:sz w:val="24"/>
          <w:szCs w:val="24"/>
          <w:lang w:eastAsia="zh-CN"/>
        </w:rPr>
        <w:t xml:space="preserve"> </w:t>
      </w:r>
      <w:r>
        <w:rPr>
          <w:rFonts w:ascii="Arial" w:hAnsi="Arial"/>
          <w:b/>
          <w:sz w:val="24"/>
          <w:szCs w:val="24"/>
          <w:lang w:eastAsia="zh-CN"/>
        </w:rPr>
        <w:t>October</w:t>
      </w:r>
      <w:r w:rsidR="00F60F8B">
        <w:rPr>
          <w:rFonts w:ascii="Arial" w:hAnsi="Arial"/>
          <w:b/>
          <w:sz w:val="24"/>
          <w:szCs w:val="24"/>
          <w:lang w:eastAsia="zh-CN"/>
        </w:rPr>
        <w:t>, 202</w:t>
      </w:r>
      <w:r w:rsidR="00A1257F">
        <w:rPr>
          <w:rFonts w:ascii="Arial" w:hAnsi="Arial"/>
          <w:b/>
          <w:sz w:val="24"/>
          <w:szCs w:val="24"/>
          <w:lang w:eastAsia="zh-CN"/>
        </w:rPr>
        <w:t>5</w:t>
      </w:r>
    </w:p>
    <w:p w14:paraId="2B9B0D20" w14:textId="77777777" w:rsidR="00F60F8B" w:rsidRPr="00A1257F" w:rsidRDefault="00F60F8B" w:rsidP="00F60F8B">
      <w:pPr>
        <w:spacing w:after="120"/>
        <w:ind w:left="1985" w:hanging="1985"/>
        <w:rPr>
          <w:rFonts w:ascii="Arial" w:eastAsia="MS Mincho" w:hAnsi="Arial" w:cs="Arial"/>
          <w:b/>
          <w:sz w:val="22"/>
        </w:rPr>
      </w:pPr>
    </w:p>
    <w:p w14:paraId="76533C12" w14:textId="41E3B5A3" w:rsidR="00F60F8B" w:rsidRPr="00855E1D" w:rsidRDefault="00F60F8B" w:rsidP="00F60F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A1257F">
        <w:rPr>
          <w:rFonts w:ascii="Arial" w:eastAsiaTheme="minorEastAsia" w:hAnsi="Arial" w:cs="Arial"/>
          <w:color w:val="000000"/>
          <w:sz w:val="22"/>
          <w:lang w:eastAsia="zh-CN"/>
        </w:rPr>
        <w:t>7.</w:t>
      </w:r>
      <w:r>
        <w:rPr>
          <w:rFonts w:ascii="Arial" w:eastAsiaTheme="minorEastAsia" w:hAnsi="Arial" w:cs="Arial"/>
          <w:color w:val="000000"/>
          <w:sz w:val="22"/>
          <w:lang w:eastAsia="zh-CN"/>
        </w:rPr>
        <w:t>8.</w:t>
      </w:r>
      <w:r w:rsidR="00193582">
        <w:rPr>
          <w:rFonts w:ascii="Arial" w:eastAsiaTheme="minorEastAsia" w:hAnsi="Arial" w:cs="Arial"/>
          <w:color w:val="000000"/>
          <w:sz w:val="22"/>
          <w:lang w:eastAsia="zh-CN"/>
        </w:rPr>
        <w:t>3</w:t>
      </w:r>
    </w:p>
    <w:p w14:paraId="72346843" w14:textId="77777777" w:rsidR="00F60F8B" w:rsidRDefault="00F60F8B" w:rsidP="00F60F8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B408E85" w14:textId="689CE39A"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bookmarkStart w:id="0" w:name="_Hlk174091763"/>
      <w:r w:rsidR="00F917C0">
        <w:rPr>
          <w:rFonts w:ascii="Arial" w:hAnsi="Arial" w:cs="Arial"/>
          <w:sz w:val="22"/>
        </w:rPr>
        <w:t>Views o</w:t>
      </w:r>
      <w:r w:rsidR="00826383">
        <w:rPr>
          <w:rFonts w:ascii="Arial" w:hAnsi="Arial" w:cs="Arial"/>
          <w:sz w:val="22"/>
        </w:rPr>
        <w:t xml:space="preserve">n </w:t>
      </w:r>
      <w:r w:rsidR="00F60F8B">
        <w:rPr>
          <w:rFonts w:ascii="Arial" w:hAnsi="Arial" w:cs="Arial"/>
          <w:sz w:val="22"/>
        </w:rPr>
        <w:t xml:space="preserve">UE RF </w:t>
      </w:r>
      <w:r w:rsidR="00A1257F">
        <w:rPr>
          <w:rFonts w:ascii="Arial" w:hAnsi="Arial" w:cs="Arial"/>
          <w:sz w:val="22"/>
        </w:rPr>
        <w:t>requirements for LB</w:t>
      </w:r>
      <w:r w:rsidR="005245B0">
        <w:rPr>
          <w:rFonts w:ascii="Arial" w:hAnsi="Arial" w:cs="Arial"/>
          <w:sz w:val="22"/>
        </w:rPr>
        <w:t xml:space="preserve"> CA</w:t>
      </w:r>
      <w:r w:rsidR="00A1257F">
        <w:rPr>
          <w:rFonts w:ascii="Arial" w:hAnsi="Arial" w:cs="Arial"/>
          <w:sz w:val="22"/>
        </w:rPr>
        <w:t xml:space="preserve"> switching</w:t>
      </w:r>
      <w:bookmarkEnd w:id="0"/>
    </w:p>
    <w:p w14:paraId="66A85EAE" w14:textId="0917A8DC"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715CCEB5" w14:textId="4D908229" w:rsidR="00BE4C6C" w:rsidRPr="00BE4C6C" w:rsidRDefault="00A1257F" w:rsidP="0056183D">
      <w:pPr>
        <w:jc w:val="left"/>
        <w:rPr>
          <w:rFonts w:eastAsiaTheme="minorEastAsia"/>
          <w:lang w:eastAsia="zh-CN"/>
        </w:rPr>
      </w:pPr>
      <w:r w:rsidRPr="00C26E2A">
        <w:rPr>
          <w:rFonts w:eastAsiaTheme="minorEastAsia"/>
          <w:lang w:val="sv-SE" w:eastAsia="zh-CN"/>
        </w:rPr>
        <w:t>At the latest RAN plenary meeting</w:t>
      </w:r>
      <w:r w:rsidR="006C35F8" w:rsidRPr="00C26E2A">
        <w:rPr>
          <w:rFonts w:eastAsiaTheme="minorEastAsia"/>
          <w:lang w:val="sv-SE" w:eastAsia="zh-CN"/>
        </w:rPr>
        <w:t>,</w:t>
      </w:r>
      <w:r w:rsidRPr="00C26E2A">
        <w:rPr>
          <w:rFonts w:eastAsiaTheme="minorEastAsia"/>
          <w:lang w:val="sv-SE" w:eastAsia="zh-CN"/>
        </w:rPr>
        <w:t xml:space="preserve"> RAN#10</w:t>
      </w:r>
      <w:r w:rsidR="00C26E2A" w:rsidRPr="00C26E2A">
        <w:rPr>
          <w:rFonts w:eastAsiaTheme="minorEastAsia"/>
          <w:lang w:val="sv-SE" w:eastAsia="zh-CN"/>
        </w:rPr>
        <w:t>9</w:t>
      </w:r>
      <w:r w:rsidRPr="00C26E2A">
        <w:rPr>
          <w:rFonts w:eastAsiaTheme="minorEastAsia"/>
          <w:lang w:val="sv-SE" w:eastAsia="zh-CN"/>
        </w:rPr>
        <w:t xml:space="preserve">, a </w:t>
      </w:r>
      <w:r w:rsidR="00C26E2A" w:rsidRPr="00C26E2A">
        <w:rPr>
          <w:rFonts w:eastAsiaTheme="minorEastAsia"/>
          <w:lang w:val="sv-SE" w:eastAsia="zh-CN"/>
        </w:rPr>
        <w:t>p</w:t>
      </w:r>
      <w:r w:rsidR="00C26E2A">
        <w:rPr>
          <w:rFonts w:eastAsiaTheme="minorEastAsia"/>
          <w:lang w:val="sv-SE" w:eastAsia="zh-CN"/>
        </w:rPr>
        <w:t>ackage of Rel-20 RAN4-led Work Items (WIs) was approved including a WI on e</w:t>
      </w:r>
      <w:r w:rsidR="00C26E2A" w:rsidRPr="00C26E2A">
        <w:rPr>
          <w:rFonts w:eastAsiaTheme="minorEastAsia"/>
          <w:lang w:val="sv-SE" w:eastAsia="zh-CN"/>
        </w:rPr>
        <w:t xml:space="preserve">nhancement of low NR band </w:t>
      </w:r>
      <w:r w:rsidR="00A40FCB">
        <w:rPr>
          <w:rFonts w:eastAsiaTheme="minorEastAsia"/>
          <w:lang w:val="sv-SE" w:eastAsia="zh-CN"/>
        </w:rPr>
        <w:t xml:space="preserve">(LB) </w:t>
      </w:r>
      <w:r w:rsidR="00C26E2A" w:rsidRPr="00C26E2A">
        <w:rPr>
          <w:rFonts w:eastAsiaTheme="minorEastAsia"/>
          <w:lang w:val="sv-SE" w:eastAsia="zh-CN"/>
        </w:rPr>
        <w:t xml:space="preserve">carrier aggregation </w:t>
      </w:r>
      <w:r w:rsidR="00A40FCB">
        <w:rPr>
          <w:rFonts w:eastAsiaTheme="minorEastAsia"/>
          <w:lang w:val="sv-SE" w:eastAsia="zh-CN"/>
        </w:rPr>
        <w:t xml:space="preserve">(CA) </w:t>
      </w:r>
      <w:r w:rsidR="00C26E2A" w:rsidRPr="00C26E2A">
        <w:rPr>
          <w:rFonts w:eastAsiaTheme="minorEastAsia"/>
          <w:lang w:val="sv-SE" w:eastAsia="zh-CN"/>
        </w:rPr>
        <w:t>via switching</w:t>
      </w:r>
      <w:r w:rsidR="00515412" w:rsidRPr="00C26E2A">
        <w:rPr>
          <w:rFonts w:eastAsiaTheme="minorEastAsia"/>
          <w:lang w:val="sv-SE" w:eastAsia="zh-CN"/>
        </w:rPr>
        <w:t xml:space="preserve">. </w:t>
      </w:r>
      <w:r w:rsidR="00515412">
        <w:rPr>
          <w:rFonts w:eastAsiaTheme="minorEastAsia"/>
          <w:lang w:eastAsia="zh-CN"/>
        </w:rPr>
        <w:t xml:space="preserve">The WID </w:t>
      </w:r>
      <w:r w:rsidR="00BE4C6C">
        <w:rPr>
          <w:rFonts w:eastAsiaTheme="minorEastAsia"/>
          <w:lang w:eastAsia="zh-CN"/>
        </w:rPr>
        <w:t xml:space="preserve">includes following objectives </w:t>
      </w:r>
      <w:r w:rsidR="00C26E2A">
        <w:rPr>
          <w:rFonts w:eastAsiaTheme="minorEastAsia"/>
          <w:lang w:eastAsia="zh-CN"/>
        </w:rPr>
        <w:t>based on precedent discussions in Rel-19</w:t>
      </w:r>
      <w:r w:rsidR="00515412">
        <w:rPr>
          <w:rFonts w:eastAsiaTheme="minorEastAsia"/>
          <w:lang w:eastAsia="zh-CN"/>
        </w:rPr>
        <w:t xml:space="preserve"> [1].</w:t>
      </w:r>
      <w:r w:rsidR="00BE4C6C">
        <w:rPr>
          <w:rFonts w:eastAsiaTheme="minorEastAsia"/>
          <w:lang w:eastAsia="zh-CN"/>
        </w:rPr>
        <w:t xml:space="preserve"> </w:t>
      </w:r>
    </w:p>
    <w:tbl>
      <w:tblPr>
        <w:tblStyle w:val="af3"/>
        <w:tblW w:w="0" w:type="auto"/>
        <w:tblCellMar>
          <w:top w:w="113" w:type="dxa"/>
          <w:bottom w:w="113" w:type="dxa"/>
        </w:tblCellMar>
        <w:tblLook w:val="04A0" w:firstRow="1" w:lastRow="0" w:firstColumn="1" w:lastColumn="0" w:noHBand="0" w:noVBand="1"/>
      </w:tblPr>
      <w:tblGrid>
        <w:gridCol w:w="9631"/>
      </w:tblGrid>
      <w:tr w:rsidR="00BE4C6C" w:rsidRPr="00646A73" w14:paraId="4AFE938F" w14:textId="77777777" w:rsidTr="00B76C4E">
        <w:tc>
          <w:tcPr>
            <w:tcW w:w="9631" w:type="dxa"/>
          </w:tcPr>
          <w:p w14:paraId="032B62AA" w14:textId="77777777" w:rsidR="00C26E2A" w:rsidRPr="00C26E2A" w:rsidRDefault="00C26E2A" w:rsidP="00C26E2A">
            <w:pPr>
              <w:numPr>
                <w:ilvl w:val="0"/>
                <w:numId w:val="6"/>
              </w:numPr>
              <w:spacing w:after="0" w:line="240" w:lineRule="auto"/>
              <w:jc w:val="left"/>
              <w:rPr>
                <w:rFonts w:eastAsia="DengXian"/>
                <w:color w:val="000000"/>
                <w:lang w:eastAsia="zh-CN"/>
              </w:rPr>
            </w:pPr>
            <w:r w:rsidRPr="00C26E2A">
              <w:rPr>
                <w:rFonts w:eastAsia="DengXian"/>
                <w:color w:val="000000"/>
                <w:lang w:eastAsia="zh-CN"/>
              </w:rPr>
              <w:t xml:space="preserve">Specify the necessary UE RF and RRM core requirements to allow switching between {case 1, case </w:t>
            </w:r>
            <w:r w:rsidRPr="00C26E2A">
              <w:rPr>
                <w:rFonts w:eastAsia="DengXian" w:hint="eastAsia"/>
                <w:color w:val="000000"/>
                <w:lang w:eastAsia="zh-CN"/>
              </w:rPr>
              <w:t>3</w:t>
            </w:r>
            <w:r w:rsidRPr="00C26E2A">
              <w:rPr>
                <w:rFonts w:eastAsia="DengXian"/>
                <w:color w:val="000000"/>
                <w:lang w:eastAsia="zh-CN"/>
              </w:rPr>
              <w:t>} to enable low band carrier aggregation via switching for the dual downlink scenario between FDD band and SDL band [RAN4].</w:t>
            </w:r>
          </w:p>
          <w:p w14:paraId="3274D8B1" w14:textId="77777777" w:rsidR="00C26E2A" w:rsidRPr="00C26E2A" w:rsidRDefault="00C26E2A" w:rsidP="00C26E2A">
            <w:pPr>
              <w:numPr>
                <w:ilvl w:val="1"/>
                <w:numId w:val="6"/>
              </w:numPr>
              <w:spacing w:after="0" w:line="240" w:lineRule="auto"/>
              <w:ind w:left="993"/>
              <w:jc w:val="left"/>
              <w:rPr>
                <w:rFonts w:eastAsia="DengXian"/>
                <w:color w:val="000000"/>
                <w:lang w:eastAsia="en-GB"/>
              </w:rPr>
            </w:pPr>
            <w:r w:rsidRPr="00C26E2A">
              <w:rPr>
                <w:rFonts w:eastAsia="DengXian"/>
                <w:color w:val="000000"/>
                <w:lang w:eastAsia="en-GB"/>
              </w:rPr>
              <w:t>Case 1: Tx/Rx on FDD carrier 1 and no Rx on SDL carrier 2.</w:t>
            </w:r>
          </w:p>
          <w:p w14:paraId="47A9DC57" w14:textId="77777777" w:rsidR="00C26E2A" w:rsidRPr="00C26E2A" w:rsidRDefault="00C26E2A" w:rsidP="00C26E2A">
            <w:pPr>
              <w:numPr>
                <w:ilvl w:val="1"/>
                <w:numId w:val="6"/>
              </w:numPr>
              <w:spacing w:after="0" w:line="240" w:lineRule="auto"/>
              <w:ind w:left="993"/>
              <w:jc w:val="left"/>
              <w:rPr>
                <w:rFonts w:eastAsia="DengXian"/>
                <w:color w:val="000000"/>
                <w:lang w:eastAsia="en-GB"/>
              </w:rPr>
            </w:pPr>
            <w:r w:rsidRPr="00C26E2A">
              <w:rPr>
                <w:rFonts w:eastAsia="DengXian"/>
                <w:color w:val="000000"/>
                <w:lang w:eastAsia="en-GB"/>
              </w:rPr>
              <w:t xml:space="preserve">Case </w:t>
            </w:r>
            <w:r w:rsidRPr="00C26E2A">
              <w:rPr>
                <w:rFonts w:eastAsia="DengXian" w:hint="eastAsia"/>
                <w:color w:val="000000"/>
                <w:lang w:eastAsia="zh-CN"/>
              </w:rPr>
              <w:t>3</w:t>
            </w:r>
            <w:r w:rsidRPr="00C26E2A">
              <w:rPr>
                <w:rFonts w:eastAsia="DengXian"/>
                <w:color w:val="000000"/>
                <w:lang w:eastAsia="en-GB"/>
              </w:rPr>
              <w:t>: Rx on both FDD carrier 1 and SDL carrier 2 and no Tx on FDD carrier 1.</w:t>
            </w:r>
          </w:p>
          <w:p w14:paraId="5A76BE82" w14:textId="77777777" w:rsidR="00C26E2A" w:rsidRPr="00C26E2A" w:rsidRDefault="00C26E2A" w:rsidP="00C26E2A">
            <w:pPr>
              <w:numPr>
                <w:ilvl w:val="1"/>
                <w:numId w:val="6"/>
              </w:numPr>
              <w:spacing w:after="0" w:line="240" w:lineRule="auto"/>
              <w:ind w:left="993"/>
              <w:jc w:val="left"/>
              <w:rPr>
                <w:rFonts w:eastAsia="DengXian"/>
                <w:color w:val="000000"/>
                <w:lang w:eastAsia="en-GB"/>
              </w:rPr>
            </w:pPr>
            <w:r w:rsidRPr="00C26E2A">
              <w:rPr>
                <w:rFonts w:eastAsia="DengXian" w:hint="eastAsia"/>
                <w:color w:val="000000"/>
                <w:lang w:eastAsia="en-GB"/>
              </w:rPr>
              <w:t>E</w:t>
            </w:r>
            <w:r w:rsidRPr="00C26E2A">
              <w:rPr>
                <w:rFonts w:eastAsia="DengXian"/>
                <w:color w:val="000000"/>
                <w:lang w:eastAsia="en-GB"/>
              </w:rPr>
              <w:t>xample band combinations: CA_n12A-n29A and CA_n28</w:t>
            </w:r>
            <w:r w:rsidRPr="00C26E2A">
              <w:rPr>
                <w:rFonts w:eastAsia="DengXian" w:hint="eastAsia"/>
                <w:color w:val="000000"/>
                <w:lang w:eastAsia="zh-CN"/>
              </w:rPr>
              <w:t>A</w:t>
            </w:r>
            <w:r w:rsidRPr="00C26E2A">
              <w:rPr>
                <w:rFonts w:eastAsia="DengXian"/>
                <w:color w:val="000000"/>
                <w:lang w:eastAsia="en-GB"/>
              </w:rPr>
              <w:t>-n67</w:t>
            </w:r>
            <w:r w:rsidRPr="00C26E2A">
              <w:rPr>
                <w:rFonts w:eastAsia="DengXian" w:hint="eastAsia"/>
                <w:color w:val="000000"/>
                <w:lang w:eastAsia="zh-CN"/>
              </w:rPr>
              <w:t>A</w:t>
            </w:r>
            <w:r w:rsidRPr="00C26E2A">
              <w:rPr>
                <w:rFonts w:eastAsia="DengXian"/>
                <w:color w:val="000000"/>
                <w:lang w:eastAsia="en-GB"/>
              </w:rPr>
              <w:t>, additional FDD+SDL band combinations can be added in the specific basket WI after this WI is completed.</w:t>
            </w:r>
          </w:p>
          <w:p w14:paraId="18777751" w14:textId="77777777" w:rsidR="00C26E2A" w:rsidRPr="00C26E2A" w:rsidRDefault="00C26E2A" w:rsidP="00C26E2A">
            <w:pPr>
              <w:numPr>
                <w:ilvl w:val="1"/>
                <w:numId w:val="6"/>
              </w:numPr>
              <w:spacing w:after="0" w:line="240" w:lineRule="auto"/>
              <w:ind w:left="993"/>
              <w:jc w:val="left"/>
              <w:rPr>
                <w:rFonts w:eastAsia="DengXian"/>
                <w:color w:val="000000"/>
                <w:lang w:eastAsia="en-GB"/>
              </w:rPr>
            </w:pPr>
            <w:r w:rsidRPr="00C26E2A">
              <w:rPr>
                <w:rFonts w:eastAsia="DengXian"/>
                <w:color w:val="000000"/>
                <w:lang w:eastAsia="en-GB"/>
              </w:rPr>
              <w:t>Reuse the time mask requirements defined in Rel-19 for low-band CA via switching as much as possible</w:t>
            </w:r>
          </w:p>
          <w:p w14:paraId="3A291C18" w14:textId="77777777" w:rsidR="00C26E2A" w:rsidRPr="00C26E2A" w:rsidRDefault="00C26E2A" w:rsidP="00C26E2A">
            <w:pPr>
              <w:numPr>
                <w:ilvl w:val="1"/>
                <w:numId w:val="6"/>
              </w:numPr>
              <w:spacing w:after="0" w:line="240" w:lineRule="auto"/>
              <w:ind w:left="993"/>
              <w:jc w:val="left"/>
              <w:rPr>
                <w:rFonts w:eastAsia="DengXian"/>
                <w:color w:val="000000"/>
                <w:lang w:eastAsia="en-GB"/>
              </w:rPr>
            </w:pPr>
            <w:r w:rsidRPr="00C26E2A">
              <w:rPr>
                <w:rFonts w:eastAsia="DengXian" w:hint="eastAsia"/>
                <w:color w:val="000000"/>
                <w:lang w:eastAsia="zh-CN"/>
              </w:rPr>
              <w:t xml:space="preserve">Note: Case 2 is specified in Rel-19 WID of </w:t>
            </w:r>
            <w:r w:rsidRPr="00C26E2A">
              <w:rPr>
                <w:rFonts w:eastAsia="DengXian"/>
                <w:color w:val="000000"/>
                <w:lang w:eastAsia="zh-CN"/>
              </w:rPr>
              <w:t>NR_LBCA_Sw</w:t>
            </w:r>
          </w:p>
          <w:p w14:paraId="56278B00" w14:textId="77777777" w:rsidR="00C26E2A" w:rsidRPr="00C26E2A" w:rsidRDefault="00C26E2A" w:rsidP="00C26E2A">
            <w:pPr>
              <w:numPr>
                <w:ilvl w:val="0"/>
                <w:numId w:val="6"/>
              </w:numPr>
              <w:spacing w:after="0" w:line="240" w:lineRule="auto"/>
              <w:jc w:val="left"/>
              <w:rPr>
                <w:rFonts w:eastAsia="DengXian"/>
                <w:color w:val="000000"/>
                <w:lang w:eastAsia="zh-CN"/>
              </w:rPr>
            </w:pPr>
            <w:r w:rsidRPr="00C26E2A">
              <w:rPr>
                <w:rFonts w:eastAsia="DengXian"/>
                <w:color w:val="000000"/>
                <w:lang w:eastAsia="zh-CN"/>
              </w:rPr>
              <w:t>Reuse the semi-static switching mechanism based on RRC configuration defined in Rel-19 for low-band CA via switching</w:t>
            </w:r>
          </w:p>
          <w:p w14:paraId="460C6760" w14:textId="77777777" w:rsidR="00C26E2A" w:rsidRPr="00C26E2A" w:rsidRDefault="00C26E2A" w:rsidP="00C26E2A">
            <w:pPr>
              <w:numPr>
                <w:ilvl w:val="0"/>
                <w:numId w:val="6"/>
              </w:numPr>
              <w:spacing w:after="0" w:line="240" w:lineRule="auto"/>
              <w:jc w:val="left"/>
              <w:rPr>
                <w:rFonts w:eastAsia="DengXian"/>
                <w:color w:val="000000"/>
                <w:lang w:eastAsia="zh-CN"/>
              </w:rPr>
            </w:pPr>
            <w:r w:rsidRPr="00C26E2A">
              <w:rPr>
                <w:rFonts w:eastAsia="DengXian"/>
                <w:color w:val="000000"/>
                <w:lang w:eastAsia="zh-CN"/>
              </w:rPr>
              <w:t xml:space="preserve">Consider the following deployment constraints: </w:t>
            </w:r>
          </w:p>
          <w:p w14:paraId="64E6A8B0" w14:textId="77777777" w:rsidR="00C26E2A" w:rsidRPr="00C26E2A" w:rsidRDefault="00C26E2A" w:rsidP="00C26E2A">
            <w:pPr>
              <w:numPr>
                <w:ilvl w:val="1"/>
                <w:numId w:val="6"/>
              </w:numPr>
              <w:spacing w:after="0" w:line="240" w:lineRule="auto"/>
              <w:ind w:left="993"/>
              <w:jc w:val="left"/>
              <w:rPr>
                <w:rFonts w:eastAsia="DengXian"/>
                <w:color w:val="000000"/>
                <w:lang w:eastAsia="en-GB"/>
              </w:rPr>
            </w:pPr>
            <w:r w:rsidRPr="00C26E2A">
              <w:rPr>
                <w:rFonts w:eastAsia="DengXian"/>
                <w:color w:val="000000"/>
                <w:lang w:eastAsia="en-GB"/>
              </w:rPr>
              <w:t>The carrier frequency for all cases is &lt;1GHz.</w:t>
            </w:r>
          </w:p>
          <w:p w14:paraId="7FE24778" w14:textId="77777777" w:rsidR="00C26E2A" w:rsidRPr="00C26E2A" w:rsidRDefault="00C26E2A" w:rsidP="00C26E2A">
            <w:pPr>
              <w:numPr>
                <w:ilvl w:val="1"/>
                <w:numId w:val="6"/>
              </w:numPr>
              <w:spacing w:after="0" w:line="240" w:lineRule="auto"/>
              <w:ind w:left="993"/>
              <w:jc w:val="left"/>
              <w:rPr>
                <w:rFonts w:eastAsia="DengXian"/>
                <w:color w:val="000000"/>
                <w:lang w:eastAsia="en-GB"/>
              </w:rPr>
            </w:pPr>
            <w:r w:rsidRPr="00C26E2A">
              <w:rPr>
                <w:rFonts w:eastAsia="DengXian"/>
                <w:color w:val="000000"/>
                <w:lang w:eastAsia="en-GB"/>
              </w:rPr>
              <w:t>Co-located and synchronized network deployment for both carriers.</w:t>
            </w:r>
          </w:p>
          <w:p w14:paraId="26DCB723" w14:textId="77777777" w:rsidR="00C26E2A" w:rsidRPr="00C26E2A" w:rsidRDefault="00C26E2A" w:rsidP="00C26E2A">
            <w:pPr>
              <w:numPr>
                <w:ilvl w:val="1"/>
                <w:numId w:val="6"/>
              </w:numPr>
              <w:spacing w:after="0" w:line="240" w:lineRule="auto"/>
              <w:ind w:left="993"/>
              <w:jc w:val="left"/>
              <w:rPr>
                <w:rFonts w:eastAsia="DengXian"/>
                <w:color w:val="000000"/>
                <w:lang w:eastAsia="en-GB"/>
              </w:rPr>
            </w:pPr>
            <w:r w:rsidRPr="00C26E2A">
              <w:rPr>
                <w:rFonts w:eastAsia="DengXian"/>
                <w:color w:val="000000"/>
                <w:lang w:eastAsia="en-GB"/>
              </w:rPr>
              <w:t>Both carriers are in a single TAG.</w:t>
            </w:r>
          </w:p>
          <w:p w14:paraId="7C6A8CF5" w14:textId="77777777" w:rsidR="00C26E2A" w:rsidRPr="00C26E2A" w:rsidRDefault="00C26E2A" w:rsidP="00C26E2A">
            <w:pPr>
              <w:numPr>
                <w:ilvl w:val="1"/>
                <w:numId w:val="6"/>
              </w:numPr>
              <w:spacing w:after="0" w:line="240" w:lineRule="auto"/>
              <w:ind w:left="993"/>
              <w:jc w:val="left"/>
              <w:rPr>
                <w:rFonts w:eastAsia="DengXian"/>
                <w:color w:val="000000"/>
                <w:lang w:eastAsia="en-GB"/>
              </w:rPr>
            </w:pPr>
            <w:r w:rsidRPr="00C26E2A">
              <w:rPr>
                <w:rFonts w:eastAsia="DengXian"/>
                <w:color w:val="000000"/>
                <w:lang w:eastAsia="en-GB"/>
              </w:rPr>
              <w:t>SCS 15Khz on both carriers.</w:t>
            </w:r>
          </w:p>
          <w:p w14:paraId="1EAE8BA4" w14:textId="77777777" w:rsidR="00C26E2A" w:rsidRPr="00C26E2A" w:rsidRDefault="00C26E2A" w:rsidP="00C26E2A">
            <w:pPr>
              <w:numPr>
                <w:ilvl w:val="1"/>
                <w:numId w:val="6"/>
              </w:numPr>
              <w:spacing w:after="0" w:line="240" w:lineRule="auto"/>
              <w:ind w:left="993"/>
              <w:jc w:val="left"/>
              <w:rPr>
                <w:rFonts w:eastAsia="DengXian"/>
                <w:color w:val="000000"/>
                <w:lang w:eastAsia="en-GB"/>
              </w:rPr>
            </w:pPr>
            <w:r w:rsidRPr="00C26E2A">
              <w:rPr>
                <w:rFonts w:eastAsia="DengXian"/>
                <w:color w:val="000000"/>
                <w:lang w:eastAsia="en-GB"/>
              </w:rPr>
              <w:t>No in-gap interference between DL carriers is expected</w:t>
            </w:r>
          </w:p>
          <w:p w14:paraId="4EF29302" w14:textId="5DDFAA1B" w:rsidR="00C26E2A" w:rsidRPr="00515412" w:rsidRDefault="00C26E2A" w:rsidP="00C26E2A">
            <w:pPr>
              <w:spacing w:line="240" w:lineRule="auto"/>
              <w:ind w:left="442"/>
              <w:jc w:val="left"/>
              <w:rPr>
                <w:rFonts w:eastAsia="DengXian"/>
                <w:lang w:eastAsia="en-GB"/>
              </w:rPr>
            </w:pPr>
            <w:r w:rsidRPr="00C26E2A">
              <w:rPr>
                <w:rFonts w:eastAsia="DengXian"/>
                <w:color w:val="000000"/>
                <w:lang w:eastAsia="zh-CN"/>
              </w:rPr>
              <w:t>Note 1: Reuse Rel-19 LB-CA RAN4 requirements as much as possible</w:t>
            </w:r>
            <w:r w:rsidRPr="00C26E2A">
              <w:rPr>
                <w:rFonts w:eastAsia="DengXian" w:hint="eastAsia"/>
                <w:color w:val="000000"/>
                <w:lang w:eastAsia="zh-CN"/>
              </w:rPr>
              <w:t>.</w:t>
            </w:r>
          </w:p>
        </w:tc>
      </w:tr>
    </w:tbl>
    <w:p w14:paraId="1D029E2A" w14:textId="71234929" w:rsidR="002206D9" w:rsidRPr="0056183D" w:rsidRDefault="002206D9" w:rsidP="002206D9">
      <w:pPr>
        <w:jc w:val="left"/>
        <w:rPr>
          <w:rFonts w:eastAsiaTheme="minorEastAsia"/>
          <w:lang w:eastAsia="zh-CN"/>
        </w:rPr>
      </w:pPr>
    </w:p>
    <w:p w14:paraId="7C590E6F" w14:textId="66B177CC" w:rsidR="00BE4C6C" w:rsidRPr="00BE4C6C" w:rsidRDefault="00E118E0" w:rsidP="00DC00DC">
      <w:pPr>
        <w:jc w:val="left"/>
        <w:rPr>
          <w:rFonts w:eastAsia="맑은 고딕"/>
          <w:lang w:eastAsia="ko-KR"/>
        </w:rPr>
      </w:pPr>
      <w:r>
        <w:rPr>
          <w:rFonts w:eastAsia="맑은 고딕"/>
          <w:lang w:eastAsia="ko-KR"/>
        </w:rPr>
        <w:t>I</w:t>
      </w:r>
      <w:r>
        <w:rPr>
          <w:rFonts w:eastAsia="맑은 고딕" w:hint="eastAsia"/>
          <w:lang w:eastAsia="ko-KR"/>
        </w:rPr>
        <w:t xml:space="preserve">n </w:t>
      </w:r>
      <w:r w:rsidR="009C4682">
        <w:rPr>
          <w:rFonts w:eastAsia="맑은 고딕"/>
          <w:lang w:eastAsia="ko-KR"/>
        </w:rPr>
        <w:t>this contribution</w:t>
      </w:r>
      <w:r>
        <w:rPr>
          <w:rFonts w:eastAsia="맑은 고딕"/>
          <w:lang w:eastAsia="ko-KR"/>
        </w:rPr>
        <w:t>, g</w:t>
      </w:r>
      <w:r w:rsidR="00E4114B">
        <w:rPr>
          <w:rFonts w:eastAsia="맑은 고딕"/>
          <w:lang w:eastAsia="ko-KR"/>
        </w:rPr>
        <w:t xml:space="preserve">iven </w:t>
      </w:r>
      <w:r w:rsidR="00FC4DC9">
        <w:rPr>
          <w:rFonts w:eastAsia="맑은 고딕"/>
          <w:lang w:eastAsia="ko-KR"/>
        </w:rPr>
        <w:t xml:space="preserve">the switching scenario </w:t>
      </w:r>
      <w:r w:rsidR="006C35F8">
        <w:rPr>
          <w:rFonts w:eastAsia="맑은 고딕"/>
          <w:lang w:eastAsia="ko-KR"/>
        </w:rPr>
        <w:t xml:space="preserve">between Case 1 and Case </w:t>
      </w:r>
      <w:r w:rsidR="003720F4">
        <w:rPr>
          <w:rFonts w:eastAsia="맑은 고딕"/>
          <w:lang w:eastAsia="ko-KR"/>
        </w:rPr>
        <w:t>3</w:t>
      </w:r>
      <w:r w:rsidR="006C35F8">
        <w:rPr>
          <w:rFonts w:eastAsia="맑은 고딕"/>
          <w:lang w:eastAsia="ko-KR"/>
        </w:rPr>
        <w:t xml:space="preserve"> under</w:t>
      </w:r>
      <w:r w:rsidR="00FC4DC9">
        <w:rPr>
          <w:rFonts w:eastAsia="맑은 고딕"/>
          <w:lang w:eastAsia="ko-KR"/>
        </w:rPr>
        <w:t xml:space="preserve"> LB CA and </w:t>
      </w:r>
      <w:r w:rsidR="003720F4">
        <w:rPr>
          <w:rFonts w:eastAsia="맑은 고딕"/>
          <w:lang w:eastAsia="ko-KR"/>
        </w:rPr>
        <w:t xml:space="preserve">its </w:t>
      </w:r>
      <w:r w:rsidR="00FC4DC9">
        <w:rPr>
          <w:rFonts w:eastAsia="맑은 고딕"/>
          <w:lang w:eastAsia="ko-KR"/>
        </w:rPr>
        <w:t xml:space="preserve">constraints </w:t>
      </w:r>
      <w:r>
        <w:rPr>
          <w:rFonts w:eastAsia="맑은 고딕"/>
          <w:lang w:eastAsia="ko-KR"/>
        </w:rPr>
        <w:t xml:space="preserve">as </w:t>
      </w:r>
      <w:r w:rsidR="005D20DF">
        <w:rPr>
          <w:rFonts w:eastAsia="맑은 고딕"/>
          <w:lang w:eastAsia="ko-KR"/>
        </w:rPr>
        <w:t xml:space="preserve">noted in the WID, we would like to provide </w:t>
      </w:r>
      <w:r w:rsidR="006C35F8">
        <w:rPr>
          <w:rFonts w:eastAsia="맑은 고딕"/>
          <w:lang w:eastAsia="ko-KR"/>
        </w:rPr>
        <w:t>our</w:t>
      </w:r>
      <w:r w:rsidR="005D20DF">
        <w:rPr>
          <w:rFonts w:eastAsia="맑은 고딕"/>
          <w:lang w:eastAsia="ko-KR"/>
        </w:rPr>
        <w:t xml:space="preserve"> initial views focusing on </w:t>
      </w:r>
      <w:r>
        <w:rPr>
          <w:rFonts w:eastAsia="맑은 고딕"/>
          <w:lang w:eastAsia="ko-KR"/>
        </w:rPr>
        <w:t xml:space="preserve">UE RF aspects </w:t>
      </w:r>
      <w:r w:rsidR="003720F4">
        <w:rPr>
          <w:rFonts w:eastAsia="맑은 고딕"/>
          <w:lang w:eastAsia="ko-KR"/>
        </w:rPr>
        <w:t xml:space="preserve">based on the outcome of the </w:t>
      </w:r>
      <w:r>
        <w:rPr>
          <w:rFonts w:eastAsia="맑은 고딕"/>
          <w:lang w:eastAsia="ko-KR"/>
        </w:rPr>
        <w:t xml:space="preserve">Rel-19 </w:t>
      </w:r>
      <w:r w:rsidR="003720F4">
        <w:rPr>
          <w:rFonts w:eastAsia="맑은 고딕"/>
          <w:lang w:eastAsia="ko-KR"/>
        </w:rPr>
        <w:t>discussion</w:t>
      </w:r>
      <w:r>
        <w:rPr>
          <w:rFonts w:eastAsia="맑은 고딕"/>
          <w:lang w:eastAsia="ko-KR"/>
        </w:rPr>
        <w:t xml:space="preserve"> [</w:t>
      </w:r>
      <w:r w:rsidR="003720F4">
        <w:rPr>
          <w:rFonts w:eastAsia="맑은 고딕"/>
          <w:lang w:eastAsia="ko-KR"/>
        </w:rPr>
        <w:t>2</w:t>
      </w:r>
      <w:r w:rsidR="00B31F3E">
        <w:rPr>
          <w:rFonts w:eastAsia="맑은 고딕"/>
          <w:lang w:eastAsia="ko-KR"/>
        </w:rPr>
        <w:t>, 3</w:t>
      </w:r>
      <w:r>
        <w:rPr>
          <w:rFonts w:eastAsia="맑은 고딕"/>
          <w:lang w:eastAsia="ko-KR"/>
        </w:rPr>
        <w:t>]</w:t>
      </w:r>
      <w:r w:rsidR="005D20DF">
        <w:rPr>
          <w:rFonts w:eastAsia="맑은 고딕"/>
          <w:lang w:eastAsia="ko-KR"/>
        </w:rPr>
        <w:t xml:space="preserve">. </w:t>
      </w:r>
    </w:p>
    <w:p w14:paraId="7F59A391" w14:textId="1C52CE60" w:rsidR="009B37B2" w:rsidRDefault="002E456A" w:rsidP="007A30A6">
      <w:pPr>
        <w:pStyle w:val="1"/>
        <w:rPr>
          <w:lang w:eastAsia="ja-JP"/>
        </w:rPr>
      </w:pPr>
      <w:r>
        <w:rPr>
          <w:lang w:val="en-GB" w:eastAsia="ja-JP"/>
        </w:rPr>
        <w:t>2</w:t>
      </w:r>
      <w:r w:rsidR="00E97142">
        <w:rPr>
          <w:lang w:val="en-GB" w:eastAsia="ja-JP"/>
        </w:rPr>
        <w:tab/>
      </w:r>
      <w:r w:rsidR="0062292E">
        <w:rPr>
          <w:lang w:val="en-GB" w:eastAsia="ja-JP"/>
        </w:rPr>
        <w:t>Discussion</w:t>
      </w:r>
    </w:p>
    <w:p w14:paraId="7B010298" w14:textId="2EAE8E21" w:rsidR="00270B25" w:rsidRPr="00270B25" w:rsidRDefault="00270B25" w:rsidP="00270B25">
      <w:pPr>
        <w:jc w:val="left"/>
        <w:rPr>
          <w:rFonts w:eastAsia="맑은 고딕"/>
          <w:lang w:val="en-US" w:eastAsia="ko-KR"/>
        </w:rPr>
      </w:pPr>
      <w:r w:rsidRPr="00270B25">
        <w:rPr>
          <w:rFonts w:eastAsia="맑은 고딕"/>
          <w:lang w:val="en-US" w:eastAsia="ko-KR"/>
        </w:rPr>
        <w:t>In Rel</w:t>
      </w:r>
      <w:r>
        <w:rPr>
          <w:rFonts w:eastAsia="맑은 고딕"/>
          <w:lang w:val="en-US" w:eastAsia="ko-KR"/>
        </w:rPr>
        <w:t>-</w:t>
      </w:r>
      <w:r w:rsidRPr="00270B25">
        <w:rPr>
          <w:rFonts w:eastAsia="맑은 고딕"/>
          <w:lang w:val="en-US" w:eastAsia="ko-KR"/>
        </w:rPr>
        <w:t xml:space="preserve">19, RAN4 specified the framework of </w:t>
      </w:r>
      <w:r>
        <w:rPr>
          <w:rFonts w:eastAsia="맑은 고딕"/>
          <w:lang w:val="en-US" w:eastAsia="ko-KR"/>
        </w:rPr>
        <w:t>LB CA</w:t>
      </w:r>
      <w:r w:rsidRPr="00270B25">
        <w:rPr>
          <w:rFonts w:eastAsia="맑은 고딕"/>
          <w:lang w:val="en-US" w:eastAsia="ko-KR"/>
        </w:rPr>
        <w:t xml:space="preserve"> via switching, particularly focusing on scenarios involving FDD and SDL carriers. The key idea was to allow UEs that do not have the capability to support conventional low-band CA with dual receive chains to still benefit from a form of aggregation by enabling switching between carriers. The Rel-19 </w:t>
      </w:r>
      <w:r>
        <w:rPr>
          <w:rFonts w:eastAsia="맑은 고딕"/>
          <w:lang w:val="en-US" w:eastAsia="ko-KR"/>
        </w:rPr>
        <w:t>WI</w:t>
      </w:r>
      <w:r w:rsidRPr="00270B25">
        <w:rPr>
          <w:rFonts w:eastAsia="맑은 고딕"/>
          <w:lang w:val="en-US" w:eastAsia="ko-KR"/>
        </w:rPr>
        <w:t xml:space="preserve"> established the uplink time mask as the central mechanism to guarantee coexistence, ensuring that a UE could safely switch between UL on an FDD carrier and DL reception on an SDL carrier. This framework served well in providing limited CA-like benefits while keeping implementation complexity under control.</w:t>
      </w:r>
    </w:p>
    <w:p w14:paraId="1B51095A" w14:textId="77777777" w:rsidR="00270B25" w:rsidRDefault="00270B25" w:rsidP="00270B25">
      <w:pPr>
        <w:jc w:val="left"/>
        <w:rPr>
          <w:rFonts w:eastAsia="맑은 고딕"/>
          <w:lang w:val="en-US" w:eastAsia="ko-KR"/>
        </w:rPr>
      </w:pPr>
      <w:r w:rsidRPr="00270B25">
        <w:rPr>
          <w:rFonts w:eastAsia="맑은 고딕"/>
          <w:lang w:val="en-US" w:eastAsia="ko-KR"/>
        </w:rPr>
        <w:t>For Rel</w:t>
      </w:r>
      <w:r>
        <w:rPr>
          <w:rFonts w:eastAsia="맑은 고딕"/>
          <w:lang w:val="en-US" w:eastAsia="ko-KR"/>
        </w:rPr>
        <w:t>-</w:t>
      </w:r>
      <w:r w:rsidRPr="00270B25">
        <w:rPr>
          <w:rFonts w:eastAsia="맑은 고딕"/>
          <w:lang w:val="en-US" w:eastAsia="ko-KR"/>
        </w:rPr>
        <w:t xml:space="preserve">20, the scope expands beyond simple FDD/SDL switching into the dual downlink scenario, where both an FDD DL carrier and an SDL carrier may be received simultaneously under the switching framework. While this appears at first glance to resemble conventional DL CA, the critical difference is that the objective remains to support single-Rx implementations that cannot economically or technically realize full CA in low-band frequencies. The Rel-20 case </w:t>
      </w:r>
      <w:r w:rsidRPr="00270B25">
        <w:rPr>
          <w:rFonts w:eastAsia="맑은 고딕"/>
          <w:lang w:val="en-US" w:eastAsia="ko-KR"/>
        </w:rPr>
        <w:lastRenderedPageBreak/>
        <w:t>therefore raises new questions for RAN4 on how receiver requirements should be applied and what additional constraints are necessary to keep the specification both realistic and implementable.</w:t>
      </w:r>
      <w:r w:rsidRPr="00270B25">
        <w:rPr>
          <w:rFonts w:eastAsia="맑은 고딕" w:hint="eastAsia"/>
          <w:lang w:val="en-US" w:eastAsia="ko-KR"/>
        </w:rPr>
        <w:t xml:space="preserve"> </w:t>
      </w:r>
    </w:p>
    <w:p w14:paraId="2F3CF0C7" w14:textId="0A285BC4" w:rsidR="00432944" w:rsidRPr="00A438F9" w:rsidRDefault="00432944" w:rsidP="00270B25">
      <w:pPr>
        <w:jc w:val="left"/>
        <w:rPr>
          <w:rFonts w:eastAsia="맑은 고딕"/>
          <w:b/>
          <w:bCs/>
          <w:lang w:val="en-US" w:eastAsia="ko-KR"/>
        </w:rPr>
      </w:pPr>
      <w:r w:rsidRPr="00A438F9">
        <w:rPr>
          <w:rFonts w:eastAsia="맑은 고딕" w:hint="eastAsia"/>
          <w:b/>
          <w:bCs/>
          <w:lang w:val="en-US" w:eastAsia="ko-KR"/>
        </w:rPr>
        <w:t>O</w:t>
      </w:r>
      <w:r w:rsidRPr="00A438F9">
        <w:rPr>
          <w:rFonts w:eastAsia="맑은 고딕"/>
          <w:b/>
          <w:bCs/>
          <w:lang w:val="en-US" w:eastAsia="ko-KR"/>
        </w:rPr>
        <w:t>bservation 1:</w:t>
      </w:r>
      <w:r w:rsidRPr="00A438F9">
        <w:rPr>
          <w:rFonts w:eastAsia="맑은 고딕"/>
          <w:b/>
          <w:bCs/>
          <w:lang w:val="en-US" w:eastAsia="ko-KR"/>
        </w:rPr>
        <w:tab/>
        <w:t xml:space="preserve">The scope of the Rel-20 WI </w:t>
      </w:r>
      <w:r w:rsidR="00270B25" w:rsidRPr="00A438F9">
        <w:rPr>
          <w:rFonts w:eastAsia="맑은 고딕"/>
          <w:b/>
          <w:bCs/>
          <w:lang w:val="en-US" w:eastAsia="ko-KR"/>
        </w:rPr>
        <w:t>expands beyond simple FDD/SDL switching into the dual downlink scenario, where both an FDD DL carrier and an SDL carrier may be received simultaneously under the switching framework.</w:t>
      </w:r>
    </w:p>
    <w:p w14:paraId="65F9BA0D" w14:textId="482128D8" w:rsidR="00943DE1" w:rsidRPr="00270B25" w:rsidRDefault="00270B25" w:rsidP="00270B25">
      <w:pPr>
        <w:jc w:val="left"/>
        <w:rPr>
          <w:rFonts w:eastAsia="맑은 고딕"/>
          <w:lang w:val="en-US" w:eastAsia="ko-KR"/>
        </w:rPr>
      </w:pPr>
      <w:r w:rsidRPr="00270B25">
        <w:rPr>
          <w:rFonts w:eastAsia="맑은 고딕"/>
          <w:lang w:val="en-US" w:eastAsia="ko-KR"/>
        </w:rPr>
        <w:t>The uplink behavior under Rel-20 dual DL switching remains fundamentally identical to Rel</w:t>
      </w:r>
      <w:r>
        <w:rPr>
          <w:rFonts w:eastAsia="맑은 고딕"/>
          <w:lang w:val="en-US" w:eastAsia="ko-KR"/>
        </w:rPr>
        <w:t>-</w:t>
      </w:r>
      <w:r w:rsidRPr="00270B25">
        <w:rPr>
          <w:rFonts w:eastAsia="맑은 고딕"/>
          <w:lang w:val="en-US" w:eastAsia="ko-KR"/>
        </w:rPr>
        <w:t>19. In the Rel-19 framework, uplink transmission was controlled via strict time mask definitions, ensuring that UL on the FDD carrier and DL on the SDL carrier could coexist without excessive interference. In the Rel-20 dual DL scenario, the situation is in fact simplified: while two downlink carriers are active simultaneously, uplink transmission on the FDD DL carrier is not permitted. This means that no new uplink-related requirements are necessary, and the existing Rel-19 UL time mask can be directly reused without any modification. By doing so, continuity between releases is preserved, and redundant specification work is avoided.</w:t>
      </w:r>
    </w:p>
    <w:p w14:paraId="25E45480" w14:textId="7177F734" w:rsidR="00432944" w:rsidRPr="00A438F9" w:rsidRDefault="00432944" w:rsidP="00943DE1">
      <w:pPr>
        <w:jc w:val="left"/>
        <w:rPr>
          <w:rFonts w:eastAsia="맑은 고딕"/>
          <w:b/>
          <w:bCs/>
          <w:lang w:val="en-US" w:eastAsia="ko-KR"/>
        </w:rPr>
      </w:pPr>
      <w:r w:rsidRPr="00A438F9">
        <w:rPr>
          <w:rFonts w:eastAsia="맑은 고딕" w:hint="eastAsia"/>
          <w:b/>
          <w:bCs/>
          <w:lang w:val="en-US" w:eastAsia="ko-KR"/>
        </w:rPr>
        <w:t>O</w:t>
      </w:r>
      <w:r w:rsidRPr="00A438F9">
        <w:rPr>
          <w:rFonts w:eastAsia="맑은 고딕"/>
          <w:b/>
          <w:bCs/>
          <w:lang w:val="en-US" w:eastAsia="ko-KR"/>
        </w:rPr>
        <w:t>bservation 2:</w:t>
      </w:r>
      <w:r w:rsidRPr="00A438F9">
        <w:rPr>
          <w:rFonts w:eastAsia="맑은 고딕"/>
          <w:b/>
          <w:bCs/>
          <w:lang w:val="en-US" w:eastAsia="ko-KR"/>
        </w:rPr>
        <w:tab/>
      </w:r>
      <w:r w:rsidR="00367607" w:rsidRPr="00A438F9">
        <w:rPr>
          <w:rFonts w:eastAsia="맑은 고딕"/>
          <w:b/>
          <w:bCs/>
          <w:lang w:val="en-US" w:eastAsia="ko-KR"/>
        </w:rPr>
        <w:t>The uplink behavior under Rel-20 dual DL switching remains fundamentally identical to Rel-19.</w:t>
      </w:r>
    </w:p>
    <w:p w14:paraId="4CE7CE03" w14:textId="1B0AC27F" w:rsidR="00432944" w:rsidRPr="00A438F9" w:rsidRDefault="00432944" w:rsidP="00943DE1">
      <w:pPr>
        <w:jc w:val="left"/>
        <w:rPr>
          <w:rFonts w:eastAsia="맑은 고딕"/>
          <w:b/>
          <w:bCs/>
          <w:lang w:val="en-US" w:eastAsia="ko-KR"/>
        </w:rPr>
      </w:pPr>
      <w:r w:rsidRPr="00A438F9">
        <w:rPr>
          <w:rFonts w:eastAsia="맑은 고딕" w:hint="eastAsia"/>
          <w:b/>
          <w:bCs/>
          <w:lang w:val="en-US" w:eastAsia="ko-KR"/>
        </w:rPr>
        <w:t>P</w:t>
      </w:r>
      <w:r w:rsidRPr="00A438F9">
        <w:rPr>
          <w:rFonts w:eastAsia="맑은 고딕"/>
          <w:b/>
          <w:bCs/>
          <w:lang w:val="en-US" w:eastAsia="ko-KR"/>
        </w:rPr>
        <w:t>roposal 1:</w:t>
      </w:r>
      <w:r w:rsidRPr="00A438F9">
        <w:rPr>
          <w:rFonts w:eastAsia="맑은 고딕"/>
          <w:b/>
          <w:bCs/>
          <w:lang w:val="en-US" w:eastAsia="ko-KR"/>
        </w:rPr>
        <w:tab/>
      </w:r>
      <w:r w:rsidRPr="00A438F9">
        <w:rPr>
          <w:rFonts w:eastAsia="맑은 고딕"/>
          <w:b/>
          <w:bCs/>
          <w:lang w:val="en-US" w:eastAsia="ko-KR"/>
        </w:rPr>
        <w:tab/>
      </w:r>
      <w:r w:rsidR="00367607" w:rsidRPr="00A438F9">
        <w:rPr>
          <w:rFonts w:eastAsia="맑은 고딕"/>
          <w:b/>
          <w:bCs/>
          <w:lang w:val="en-US" w:eastAsia="ko-KR"/>
        </w:rPr>
        <w:t>No new uplink-related requirements are necessary, and the existing Rel-19 UL time mask can be directly reused without any modification.</w:t>
      </w:r>
    </w:p>
    <w:p w14:paraId="48BF2291" w14:textId="58CD70E7" w:rsidR="00F4213F" w:rsidRPr="00F4213F" w:rsidRDefault="00F4213F" w:rsidP="00F4213F">
      <w:pPr>
        <w:jc w:val="left"/>
        <w:rPr>
          <w:rFonts w:eastAsia="맑은 고딕"/>
          <w:lang w:eastAsia="ko-KR"/>
        </w:rPr>
      </w:pPr>
      <w:r w:rsidRPr="00F4213F">
        <w:rPr>
          <w:rFonts w:eastAsia="맑은 고딕"/>
          <w:lang w:eastAsia="ko-KR"/>
        </w:rPr>
        <w:t>The WI</w:t>
      </w:r>
      <w:r>
        <w:rPr>
          <w:rFonts w:eastAsia="맑은 고딕"/>
          <w:lang w:eastAsia="ko-KR"/>
        </w:rPr>
        <w:t>D</w:t>
      </w:r>
      <w:r w:rsidRPr="00F4213F">
        <w:rPr>
          <w:rFonts w:eastAsia="맑은 고딕"/>
          <w:lang w:eastAsia="ko-KR"/>
        </w:rPr>
        <w:t xml:space="preserve"> initially describes its scope as applying to adjacent FDD DL and SDL band combinations under the condition of “no-gap impact.” To capture this </w:t>
      </w:r>
      <w:r w:rsidR="00A55653">
        <w:rPr>
          <w:rFonts w:eastAsia="맑은 고딕"/>
          <w:lang w:eastAsia="ko-KR"/>
        </w:rPr>
        <w:t xml:space="preserve">condition </w:t>
      </w:r>
      <w:r w:rsidRPr="00F4213F">
        <w:rPr>
          <w:rFonts w:eastAsia="맑은 고딕"/>
          <w:lang w:eastAsia="ko-KR"/>
        </w:rPr>
        <w:t>more clearly, it is proposed that “no-gap impact” be redefined as a contiguity-equivalent condition. Specifically, a maximum allowable separation</w:t>
      </w:r>
      <w:r w:rsidR="00D17FFB">
        <w:rPr>
          <w:rFonts w:eastAsia="맑은 고딕"/>
          <w:lang w:eastAsia="ko-KR"/>
        </w:rPr>
        <w:t xml:space="preserve">, e.g., </w:t>
      </w:r>
      <w:r w:rsidRPr="00F4213F">
        <w:rPr>
          <w:rFonts w:eastAsia="맑은 고딕"/>
          <w:lang w:eastAsia="ko-KR"/>
        </w:rPr>
        <w:t>Δf_</w:t>
      </w:r>
      <w:r w:rsidR="00C86CB3" w:rsidRPr="00C86CB3">
        <w:rPr>
          <w:rFonts w:eastAsia="맑은 고딕"/>
          <w:vertAlign w:val="subscript"/>
          <w:lang w:eastAsia="ko-KR"/>
        </w:rPr>
        <w:t>LB</w:t>
      </w:r>
      <w:r w:rsidR="00D17FFB">
        <w:rPr>
          <w:rFonts w:eastAsia="맑은 고딕"/>
          <w:lang w:eastAsia="ko-KR"/>
        </w:rPr>
        <w:t>,</w:t>
      </w:r>
      <w:r w:rsidRPr="00F4213F">
        <w:rPr>
          <w:rFonts w:eastAsia="맑은 고딕"/>
          <w:lang w:eastAsia="ko-KR"/>
        </w:rPr>
        <w:t xml:space="preserve"> should be </w:t>
      </w:r>
      <w:r w:rsidR="00417A32">
        <w:rPr>
          <w:rFonts w:eastAsia="맑은 고딕"/>
          <w:lang w:eastAsia="ko-KR"/>
        </w:rPr>
        <w:t>considered</w:t>
      </w:r>
      <w:r w:rsidRPr="00F4213F">
        <w:rPr>
          <w:rFonts w:eastAsia="맑은 고딕"/>
          <w:lang w:eastAsia="ko-KR"/>
        </w:rPr>
        <w:t>, below which the two carriers are considered to be effectively contiguous. Furthermore, this maximum separation should not be considered in isolation, but rather in conjunction with the maximum aggregated channel bandwidth (CBW) that a single Rx chain can process. This is because the effective impact on the Rx front-end depends not only on the absolute gap but also on the total span of frequencies that must be passed through the analog chain, including filters, LNAs, and ADC front-ends.</w:t>
      </w:r>
    </w:p>
    <w:p w14:paraId="59E15282" w14:textId="76F5B4F8" w:rsidR="00943DE1" w:rsidRPr="00F4213F" w:rsidRDefault="00F4213F" w:rsidP="00F4213F">
      <w:pPr>
        <w:jc w:val="left"/>
        <w:rPr>
          <w:rFonts w:eastAsia="맑은 고딕"/>
          <w:lang w:val="en-US" w:eastAsia="ko-KR"/>
        </w:rPr>
      </w:pPr>
      <w:r w:rsidRPr="00F4213F">
        <w:rPr>
          <w:rFonts w:eastAsia="맑은 고딕"/>
          <w:lang w:eastAsia="ko-KR"/>
        </w:rPr>
        <w:t xml:space="preserve">By defining “no-gap impact” in this way, the </w:t>
      </w:r>
      <w:r w:rsidR="00D17FFB">
        <w:rPr>
          <w:rFonts w:eastAsia="맑은 고딕"/>
          <w:lang w:eastAsia="ko-KR"/>
        </w:rPr>
        <w:t xml:space="preserve">feature </w:t>
      </w:r>
      <w:r w:rsidRPr="00F4213F">
        <w:rPr>
          <w:rFonts w:eastAsia="맑은 고딕"/>
          <w:lang w:eastAsia="ko-KR"/>
        </w:rPr>
        <w:t xml:space="preserve">can accommodate </w:t>
      </w:r>
      <w:r w:rsidR="00D17FFB">
        <w:rPr>
          <w:rFonts w:eastAsia="맑은 고딕"/>
          <w:lang w:eastAsia="ko-KR"/>
        </w:rPr>
        <w:t xml:space="preserve">more practical </w:t>
      </w:r>
      <w:r w:rsidRPr="00F4213F">
        <w:rPr>
          <w:rFonts w:eastAsia="맑은 고딕"/>
          <w:lang w:eastAsia="ko-KR"/>
        </w:rPr>
        <w:t>band combinations</w:t>
      </w:r>
      <w:r w:rsidR="00D17FFB">
        <w:rPr>
          <w:rFonts w:eastAsia="맑은 고딕"/>
          <w:lang w:eastAsia="ko-KR"/>
        </w:rPr>
        <w:t xml:space="preserve"> in the market</w:t>
      </w:r>
      <w:r w:rsidRPr="00F4213F">
        <w:rPr>
          <w:rFonts w:eastAsia="맑은 고딕"/>
          <w:lang w:eastAsia="ko-KR"/>
        </w:rPr>
        <w:t>, which include very small separations but are still effectively contiguous from an RF perspective. At the same time, this approach ensures that configurations with larger separations, which would stress the Rx chain beyond feasible limits, are not inadvertently included within the WI scope.</w:t>
      </w:r>
    </w:p>
    <w:p w14:paraId="6F8B4A1F" w14:textId="7C7701A2" w:rsidR="00D17FFB" w:rsidRPr="00417A32" w:rsidRDefault="00D17FFB" w:rsidP="00D17FFB">
      <w:pPr>
        <w:jc w:val="left"/>
        <w:rPr>
          <w:rFonts w:eastAsia="맑은 고딕"/>
          <w:b/>
          <w:bCs/>
          <w:lang w:eastAsia="ko-KR"/>
        </w:rPr>
      </w:pPr>
      <w:r w:rsidRPr="00417A32">
        <w:rPr>
          <w:rFonts w:eastAsia="맑은 고딕" w:hint="eastAsia"/>
          <w:b/>
          <w:bCs/>
          <w:lang w:eastAsia="ko-KR"/>
        </w:rPr>
        <w:t>O</w:t>
      </w:r>
      <w:r w:rsidRPr="00417A32">
        <w:rPr>
          <w:rFonts w:eastAsia="맑은 고딕"/>
          <w:b/>
          <w:bCs/>
          <w:lang w:eastAsia="ko-KR"/>
        </w:rPr>
        <w:t>bservation 3:</w:t>
      </w:r>
      <w:r w:rsidRPr="00417A32">
        <w:rPr>
          <w:rFonts w:eastAsia="맑은 고딕"/>
          <w:b/>
          <w:bCs/>
          <w:lang w:eastAsia="ko-KR"/>
        </w:rPr>
        <w:tab/>
      </w:r>
      <w:r w:rsidR="00C86CB3" w:rsidRPr="00417A32">
        <w:rPr>
          <w:rFonts w:eastAsia="맑은 고딕"/>
          <w:b/>
          <w:bCs/>
          <w:lang w:eastAsia="ko-KR"/>
        </w:rPr>
        <w:t>The WID initially describes its scope as applying to adjacent FDD DL and SDL band combinations under the condition of “no-gap impact.”</w:t>
      </w:r>
    </w:p>
    <w:p w14:paraId="4DA768BE" w14:textId="7E9160D2" w:rsidR="00D17FFB" w:rsidRPr="00417A32" w:rsidRDefault="00D17FFB" w:rsidP="00D17FFB">
      <w:pPr>
        <w:jc w:val="left"/>
        <w:rPr>
          <w:rFonts w:eastAsia="맑은 고딕"/>
          <w:b/>
          <w:bCs/>
          <w:lang w:eastAsia="ko-KR"/>
        </w:rPr>
      </w:pPr>
      <w:r w:rsidRPr="00417A32">
        <w:rPr>
          <w:rFonts w:eastAsia="맑은 고딕" w:hint="eastAsia"/>
          <w:b/>
          <w:bCs/>
          <w:lang w:eastAsia="ko-KR"/>
        </w:rPr>
        <w:t>P</w:t>
      </w:r>
      <w:r w:rsidRPr="00417A32">
        <w:rPr>
          <w:rFonts w:eastAsia="맑은 고딕"/>
          <w:b/>
          <w:bCs/>
          <w:lang w:eastAsia="ko-KR"/>
        </w:rPr>
        <w:t>roposal 2:</w:t>
      </w:r>
      <w:r w:rsidRPr="00417A32">
        <w:rPr>
          <w:rFonts w:eastAsia="맑은 고딕"/>
          <w:b/>
          <w:bCs/>
          <w:lang w:eastAsia="ko-KR"/>
        </w:rPr>
        <w:tab/>
      </w:r>
      <w:r w:rsidRPr="00417A32">
        <w:rPr>
          <w:rFonts w:eastAsia="맑은 고딕"/>
          <w:b/>
          <w:bCs/>
          <w:lang w:eastAsia="ko-KR"/>
        </w:rPr>
        <w:tab/>
      </w:r>
      <w:r w:rsidR="00417A32" w:rsidRPr="00417A32">
        <w:rPr>
          <w:rFonts w:eastAsia="맑은 고딕"/>
          <w:b/>
          <w:bCs/>
          <w:lang w:eastAsia="ko-KR"/>
        </w:rPr>
        <w:t>A maximum allowable separation below which the two carriers are considered in conjunction with the maximum aggregated channel bandwidth (CBW) that a single Rx chain can process.</w:t>
      </w:r>
    </w:p>
    <w:p w14:paraId="7982EA74" w14:textId="5C2F6501" w:rsidR="00AD48FC" w:rsidRPr="00AD48FC" w:rsidRDefault="00AD48FC" w:rsidP="00AD48FC">
      <w:pPr>
        <w:jc w:val="left"/>
        <w:rPr>
          <w:rFonts w:eastAsia="맑은 고딕"/>
          <w:lang w:val="en-US" w:eastAsia="ko-KR"/>
        </w:rPr>
      </w:pPr>
      <w:r>
        <w:rPr>
          <w:rFonts w:eastAsia="맑은 고딕"/>
          <w:lang w:val="en-US" w:eastAsia="ko-KR"/>
        </w:rPr>
        <w:t>Regarding RF architecture considerations, in our view, t</w:t>
      </w:r>
      <w:r w:rsidRPr="00AD48FC">
        <w:rPr>
          <w:rFonts w:eastAsia="맑은 고딕"/>
          <w:lang w:val="en-US" w:eastAsia="ko-KR"/>
        </w:rPr>
        <w:t xml:space="preserve">he motivation for this WI lies in supporting UEs with only a single low-band Rx chain. UEs that include dual low-band Rx chains can already declare conventional DL CA support, and for those </w:t>
      </w:r>
      <w:r>
        <w:rPr>
          <w:rFonts w:eastAsia="맑은 고딕"/>
          <w:lang w:val="en-US" w:eastAsia="ko-KR"/>
        </w:rPr>
        <w:t>UE</w:t>
      </w:r>
      <w:r w:rsidRPr="00AD48FC">
        <w:rPr>
          <w:rFonts w:eastAsia="맑은 고딕"/>
          <w:lang w:val="en-US" w:eastAsia="ko-KR"/>
        </w:rPr>
        <w:t xml:space="preserve">s the existing CA requirements apply directly without any modification. However, the main target of this WI </w:t>
      </w:r>
      <w:r>
        <w:rPr>
          <w:rFonts w:eastAsia="맑은 고딕"/>
          <w:lang w:val="en-US" w:eastAsia="ko-KR"/>
        </w:rPr>
        <w:t xml:space="preserve">would be </w:t>
      </w:r>
      <w:r w:rsidRPr="00AD48FC">
        <w:rPr>
          <w:rFonts w:eastAsia="맑은 고딕"/>
          <w:lang w:val="en-US" w:eastAsia="ko-KR"/>
        </w:rPr>
        <w:t>the large class of UEs that rely on a single low-band Rx chain for reasons of cost, size, or power efficiency</w:t>
      </w:r>
      <w:r>
        <w:rPr>
          <w:rFonts w:eastAsia="맑은 고딕"/>
          <w:lang w:val="en-US" w:eastAsia="ko-KR"/>
        </w:rPr>
        <w:t xml:space="preserve"> to support LB</w:t>
      </w:r>
      <w:r w:rsidRPr="00AD48FC">
        <w:rPr>
          <w:rFonts w:eastAsia="맑은 고딕"/>
          <w:lang w:val="en-US" w:eastAsia="ko-KR"/>
        </w:rPr>
        <w:t>.</w:t>
      </w:r>
      <w:r>
        <w:rPr>
          <w:rFonts w:eastAsia="맑은 고딕"/>
          <w:lang w:val="en-US" w:eastAsia="ko-KR"/>
        </w:rPr>
        <w:t xml:space="preserve"> </w:t>
      </w:r>
      <w:r w:rsidRPr="00AD48FC">
        <w:rPr>
          <w:rFonts w:eastAsia="맑은 고딕"/>
          <w:lang w:val="en-US" w:eastAsia="ko-KR"/>
        </w:rPr>
        <w:t xml:space="preserve">For such devices, the dual </w:t>
      </w:r>
      <w:r>
        <w:rPr>
          <w:rFonts w:eastAsia="맑은 고딕"/>
          <w:lang w:val="en-US" w:eastAsia="ko-KR"/>
        </w:rPr>
        <w:t>DL</w:t>
      </w:r>
      <w:r w:rsidRPr="00AD48FC">
        <w:rPr>
          <w:rFonts w:eastAsia="맑은 고딕"/>
          <w:lang w:val="en-US" w:eastAsia="ko-KR"/>
        </w:rPr>
        <w:t xml:space="preserve"> switching feature can be understood as a process where the single Rx chain alternates between narrower and wider spans. For example:</w:t>
      </w:r>
    </w:p>
    <w:p w14:paraId="1B1902DB" w14:textId="261CF0DC" w:rsidR="00AD48FC" w:rsidRPr="00AD48FC" w:rsidRDefault="00AD48FC" w:rsidP="00AD48FC">
      <w:pPr>
        <w:pStyle w:val="afc"/>
        <w:numPr>
          <w:ilvl w:val="0"/>
          <w:numId w:val="8"/>
        </w:numPr>
        <w:ind w:firstLineChars="0"/>
        <w:jc w:val="left"/>
        <w:rPr>
          <w:rFonts w:eastAsia="맑은 고딕"/>
          <w:lang w:val="en-US" w:eastAsia="ko-KR"/>
        </w:rPr>
      </w:pPr>
      <w:r w:rsidRPr="00AD48FC">
        <w:rPr>
          <w:rFonts w:eastAsia="맑은 고딕"/>
          <w:lang w:val="en-US" w:eastAsia="ko-KR"/>
        </w:rPr>
        <w:t>Case 1: The Rx chain is configured to cover only the FDD DL carrier (narrowband).</w:t>
      </w:r>
    </w:p>
    <w:p w14:paraId="789A209E" w14:textId="518F0AE8" w:rsidR="00AD48FC" w:rsidRPr="00AD48FC" w:rsidRDefault="00AD48FC" w:rsidP="00AD48FC">
      <w:pPr>
        <w:pStyle w:val="afc"/>
        <w:numPr>
          <w:ilvl w:val="0"/>
          <w:numId w:val="8"/>
        </w:numPr>
        <w:ind w:firstLineChars="0"/>
        <w:jc w:val="left"/>
        <w:rPr>
          <w:rFonts w:eastAsia="맑은 고딕"/>
          <w:lang w:val="en-US" w:eastAsia="ko-KR"/>
        </w:rPr>
      </w:pPr>
      <w:r w:rsidRPr="00AD48FC">
        <w:rPr>
          <w:rFonts w:eastAsia="맑은 고딕"/>
          <w:lang w:val="en-US" w:eastAsia="ko-KR"/>
        </w:rPr>
        <w:t>Case 3: The Rx chain is reconfigured to extend its passband such that both the FDD DL and SDL carriers are included simultaneously (wider band).</w:t>
      </w:r>
    </w:p>
    <w:p w14:paraId="30B8F490" w14:textId="710DBA51" w:rsidR="00277CB2" w:rsidRDefault="00296405" w:rsidP="00B31F3E">
      <w:pPr>
        <w:jc w:val="left"/>
        <w:rPr>
          <w:rFonts w:eastAsia="맑은 고딕"/>
          <w:lang w:val="en-US" w:eastAsia="ko-KR"/>
        </w:rPr>
      </w:pPr>
      <w:r>
        <w:rPr>
          <w:rFonts w:eastAsia="맑은 고딕"/>
          <w:lang w:val="en-US" w:eastAsia="ko-KR"/>
        </w:rPr>
        <w:t xml:space="preserve">Figure 1 shows </w:t>
      </w:r>
      <w:r w:rsidR="00AD48FC" w:rsidRPr="00AD48FC">
        <w:rPr>
          <w:rFonts w:eastAsia="맑은 고딕"/>
          <w:lang w:val="en-US" w:eastAsia="ko-KR"/>
        </w:rPr>
        <w:t>the difference between the single-Rx and dual-Rx architectures. In the single-Rx case, the same antenna, filter, LNA, and LO chain must handle the entire span, whereas in the dual-Rx case, separate chains process each carrier independently. This architectural distinction is fundamental to the scope of the WI.</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B31F3E" w14:paraId="6F866D9E" w14:textId="77777777" w:rsidTr="00B31F3E">
        <w:tc>
          <w:tcPr>
            <w:tcW w:w="9631" w:type="dxa"/>
          </w:tcPr>
          <w:p w14:paraId="3C747DB3" w14:textId="77777777" w:rsidR="00B31F3E" w:rsidRPr="00B31F3E" w:rsidRDefault="00B31F3E" w:rsidP="00277CB2">
            <w:pPr>
              <w:jc w:val="center"/>
              <w:rPr>
                <w:rFonts w:eastAsia="맑은 고딕"/>
                <w:b/>
                <w:bCs/>
                <w:lang w:val="en-US" w:eastAsia="ko-KR"/>
              </w:rPr>
            </w:pPr>
            <w:r w:rsidRPr="00B31F3E">
              <w:rPr>
                <w:rFonts w:eastAsia="맑은 고딕"/>
                <w:b/>
                <w:bCs/>
                <w:noProof/>
                <w:lang w:val="en-US" w:eastAsia="ko-KR"/>
              </w:rPr>
              <w:lastRenderedPageBreak/>
              <w:drawing>
                <wp:inline distT="0" distB="0" distL="0" distR="0" wp14:anchorId="0831031E" wp14:editId="507C92A9">
                  <wp:extent cx="5760000" cy="1041903"/>
                  <wp:effectExtent l="0" t="0" r="0" b="635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00" cy="1041903"/>
                          </a:xfrm>
                          <a:prstGeom prst="rect">
                            <a:avLst/>
                          </a:prstGeom>
                          <a:noFill/>
                        </pic:spPr>
                      </pic:pic>
                    </a:graphicData>
                  </a:graphic>
                </wp:inline>
              </w:drawing>
            </w:r>
          </w:p>
          <w:p w14:paraId="5E31C782" w14:textId="77777777" w:rsidR="00B31F3E" w:rsidRDefault="00B31F3E" w:rsidP="00277CB2">
            <w:pPr>
              <w:jc w:val="center"/>
              <w:rPr>
                <w:rFonts w:eastAsia="맑은 고딕"/>
                <w:b/>
                <w:bCs/>
                <w:lang w:val="en-US" w:eastAsia="ko-KR"/>
              </w:rPr>
            </w:pPr>
            <w:r>
              <w:rPr>
                <w:rFonts w:eastAsia="맑은 고딕" w:hint="eastAsia"/>
                <w:b/>
                <w:bCs/>
                <w:lang w:val="en-US" w:eastAsia="ko-KR"/>
              </w:rPr>
              <w:t>C</w:t>
            </w:r>
            <w:r>
              <w:rPr>
                <w:rFonts w:eastAsia="맑은 고딕"/>
                <w:b/>
                <w:bCs/>
                <w:lang w:val="en-US" w:eastAsia="ko-KR"/>
              </w:rPr>
              <w:t>ase 1: Single-Rx switching (dual DL via single Rx chain)</w:t>
            </w:r>
          </w:p>
          <w:p w14:paraId="3615706A" w14:textId="0F7D8A5D" w:rsidR="00B31F3E" w:rsidRPr="00B31F3E" w:rsidRDefault="00B31F3E" w:rsidP="00277CB2">
            <w:pPr>
              <w:jc w:val="center"/>
              <w:rPr>
                <w:rFonts w:eastAsia="맑은 고딕"/>
                <w:b/>
                <w:bCs/>
                <w:lang w:val="en-US" w:eastAsia="ko-KR"/>
              </w:rPr>
            </w:pPr>
          </w:p>
        </w:tc>
      </w:tr>
      <w:tr w:rsidR="00B31F3E" w14:paraId="0A715BF9" w14:textId="77777777" w:rsidTr="00B31F3E">
        <w:tc>
          <w:tcPr>
            <w:tcW w:w="9631" w:type="dxa"/>
          </w:tcPr>
          <w:p w14:paraId="72B796F5" w14:textId="77777777" w:rsidR="00B31F3E" w:rsidRDefault="00B31F3E" w:rsidP="00277CB2">
            <w:pPr>
              <w:jc w:val="center"/>
              <w:rPr>
                <w:rFonts w:eastAsia="맑은 고딕"/>
                <w:b/>
                <w:bCs/>
                <w:lang w:val="en-US" w:eastAsia="ko-KR"/>
              </w:rPr>
            </w:pPr>
            <w:r w:rsidRPr="00B31F3E">
              <w:rPr>
                <w:rFonts w:eastAsia="맑은 고딕"/>
                <w:b/>
                <w:bCs/>
                <w:noProof/>
                <w:lang w:val="en-US" w:eastAsia="ko-KR"/>
              </w:rPr>
              <w:drawing>
                <wp:inline distT="0" distB="0" distL="0" distR="0" wp14:anchorId="1818093A" wp14:editId="0B0E5199">
                  <wp:extent cx="5760000" cy="1483527"/>
                  <wp:effectExtent l="0" t="0" r="0" b="254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000" cy="1483527"/>
                          </a:xfrm>
                          <a:prstGeom prst="rect">
                            <a:avLst/>
                          </a:prstGeom>
                          <a:noFill/>
                        </pic:spPr>
                      </pic:pic>
                    </a:graphicData>
                  </a:graphic>
                </wp:inline>
              </w:drawing>
            </w:r>
          </w:p>
          <w:p w14:paraId="71C84E32" w14:textId="77777777" w:rsidR="00B31F3E" w:rsidRDefault="00B31F3E" w:rsidP="00277CB2">
            <w:pPr>
              <w:jc w:val="center"/>
              <w:rPr>
                <w:rFonts w:eastAsia="맑은 고딕"/>
                <w:b/>
                <w:bCs/>
                <w:lang w:val="en-US" w:eastAsia="ko-KR"/>
              </w:rPr>
            </w:pPr>
            <w:r>
              <w:rPr>
                <w:rFonts w:eastAsia="맑은 고딕" w:hint="eastAsia"/>
                <w:b/>
                <w:bCs/>
                <w:lang w:val="en-US" w:eastAsia="ko-KR"/>
              </w:rPr>
              <w:t>C</w:t>
            </w:r>
            <w:r>
              <w:rPr>
                <w:rFonts w:eastAsia="맑은 고딕"/>
                <w:b/>
                <w:bCs/>
                <w:lang w:val="en-US" w:eastAsia="ko-KR"/>
              </w:rPr>
              <w:t>ase 2: Dual-Rx conventional CA (dual Rx chains)</w:t>
            </w:r>
          </w:p>
          <w:p w14:paraId="132841CF" w14:textId="36BFA922" w:rsidR="00B31F3E" w:rsidRPr="00B31F3E" w:rsidRDefault="00B31F3E" w:rsidP="00277CB2">
            <w:pPr>
              <w:jc w:val="center"/>
              <w:rPr>
                <w:rFonts w:eastAsia="맑은 고딕"/>
                <w:b/>
                <w:bCs/>
                <w:lang w:val="en-US" w:eastAsia="ko-KR"/>
              </w:rPr>
            </w:pPr>
          </w:p>
        </w:tc>
      </w:tr>
    </w:tbl>
    <w:p w14:paraId="38AF0E2B" w14:textId="70BCA11B" w:rsidR="00277CB2" w:rsidRPr="00277CB2" w:rsidRDefault="00277CB2" w:rsidP="00277CB2">
      <w:pPr>
        <w:jc w:val="center"/>
        <w:rPr>
          <w:rFonts w:eastAsia="맑은 고딕"/>
          <w:b/>
          <w:bCs/>
          <w:lang w:val="en-US" w:eastAsia="ko-KR"/>
        </w:rPr>
      </w:pPr>
      <w:r w:rsidRPr="00B31F3E">
        <w:rPr>
          <w:rFonts w:eastAsia="맑은 고딕" w:hint="eastAsia"/>
          <w:b/>
          <w:bCs/>
          <w:lang w:val="en-US" w:eastAsia="ko-KR"/>
        </w:rPr>
        <w:t>F</w:t>
      </w:r>
      <w:r w:rsidRPr="00B31F3E">
        <w:rPr>
          <w:rFonts w:eastAsia="맑은 고딕"/>
          <w:b/>
          <w:bCs/>
          <w:lang w:val="en-US" w:eastAsia="ko-KR"/>
        </w:rPr>
        <w:t>igure 1: Examples of UE Rx architectures for CA_n12A–n29A</w:t>
      </w:r>
    </w:p>
    <w:p w14:paraId="3532D3B2" w14:textId="77777777" w:rsidR="00296405" w:rsidRPr="00A438F9" w:rsidRDefault="00296405" w:rsidP="00296405">
      <w:pPr>
        <w:jc w:val="left"/>
        <w:rPr>
          <w:rFonts w:eastAsia="맑은 고딕"/>
          <w:b/>
          <w:bCs/>
          <w:lang w:val="en-US" w:eastAsia="ko-KR"/>
        </w:rPr>
      </w:pPr>
      <w:r w:rsidRPr="00A438F9">
        <w:rPr>
          <w:rFonts w:eastAsia="맑은 고딕" w:hint="eastAsia"/>
          <w:b/>
          <w:bCs/>
          <w:lang w:val="en-US" w:eastAsia="ko-KR"/>
        </w:rPr>
        <w:t>O</w:t>
      </w:r>
      <w:r w:rsidRPr="00A438F9">
        <w:rPr>
          <w:rFonts w:eastAsia="맑은 고딕"/>
          <w:b/>
          <w:bCs/>
          <w:lang w:val="en-US" w:eastAsia="ko-KR"/>
        </w:rPr>
        <w:t>bservation 4:</w:t>
      </w:r>
      <w:r w:rsidRPr="00A438F9">
        <w:rPr>
          <w:rFonts w:eastAsia="맑은 고딕"/>
          <w:b/>
          <w:bCs/>
          <w:lang w:val="en-US" w:eastAsia="ko-KR"/>
        </w:rPr>
        <w:tab/>
        <w:t>The main purpose of this WI is to enable UEs with only a single low-band Rx chain to realize some of the benefits of DL CA.</w:t>
      </w:r>
    </w:p>
    <w:p w14:paraId="55F7356B" w14:textId="17A41A96" w:rsidR="00C777BC" w:rsidRDefault="00C777BC" w:rsidP="00C777BC">
      <w:pPr>
        <w:jc w:val="left"/>
        <w:rPr>
          <w:rFonts w:eastAsia="맑은 고딕"/>
          <w:lang w:val="en-US" w:eastAsia="ko-KR"/>
        </w:rPr>
      </w:pPr>
      <w:r>
        <w:rPr>
          <w:rFonts w:eastAsia="맑은 고딕"/>
          <w:lang w:val="en-US" w:eastAsia="ko-KR"/>
        </w:rPr>
        <w:t>Based on the clarification, o</w:t>
      </w:r>
      <w:r w:rsidRPr="00C777BC">
        <w:rPr>
          <w:rFonts w:eastAsia="맑은 고딕"/>
          <w:lang w:val="en-US" w:eastAsia="ko-KR"/>
        </w:rPr>
        <w:t xml:space="preserve">ne of the most important technical questions raised by the Case-3 scenario </w:t>
      </w:r>
      <w:r>
        <w:rPr>
          <w:rFonts w:eastAsia="맑은 고딕"/>
          <w:lang w:val="en-US" w:eastAsia="ko-KR"/>
        </w:rPr>
        <w:t xml:space="preserve">would be </w:t>
      </w:r>
      <w:r w:rsidRPr="00C777BC">
        <w:rPr>
          <w:rFonts w:eastAsia="맑은 고딕"/>
          <w:lang w:val="en-US" w:eastAsia="ko-KR"/>
        </w:rPr>
        <w:t xml:space="preserve">how reference sensitivity (REFSENS) requirements should be applied. </w:t>
      </w:r>
      <w:r>
        <w:rPr>
          <w:rFonts w:eastAsia="맑은 고딕"/>
          <w:lang w:val="en-US" w:eastAsia="ko-KR"/>
        </w:rPr>
        <w:t xml:space="preserve">By following the legacy requirement of </w:t>
      </w:r>
      <w:r w:rsidR="00296405">
        <w:rPr>
          <w:rFonts w:eastAsia="맑은 고딕"/>
          <w:lang w:val="en-US" w:eastAsia="ko-KR"/>
        </w:rPr>
        <w:t>int</w:t>
      </w:r>
      <w:r w:rsidR="007C42F7">
        <w:rPr>
          <w:rFonts w:eastAsia="맑은 고딕"/>
          <w:lang w:val="en-US" w:eastAsia="ko-KR"/>
        </w:rPr>
        <w:t>r</w:t>
      </w:r>
      <w:r w:rsidR="00296405">
        <w:rPr>
          <w:rFonts w:eastAsia="맑은 고딕"/>
          <w:lang w:val="en-US" w:eastAsia="ko-KR"/>
        </w:rPr>
        <w:t>a/</w:t>
      </w:r>
      <w:r>
        <w:rPr>
          <w:rFonts w:eastAsia="맑은 고딕"/>
          <w:lang w:val="en-US" w:eastAsia="ko-KR"/>
        </w:rPr>
        <w:t>inter-band CA</w:t>
      </w:r>
      <w:r w:rsidRPr="00C777BC">
        <w:rPr>
          <w:rFonts w:eastAsia="맑은 고딕"/>
          <w:lang w:val="en-US" w:eastAsia="ko-KR"/>
        </w:rPr>
        <w:t>, it would be simplest to state that each downlink component carrier must continue to meet the single-carrier REFSENS values. However, in practice, when the Rx chain expands to cover an extended span that includes both carriers, several factors could degrade performance relative to the single-carrier case. These include reduced filter selectivity, increased noise across the wider band, greater AGC load, and reduced quantization dynamic range in the ADC.</w:t>
      </w:r>
      <w:r>
        <w:rPr>
          <w:rFonts w:eastAsia="맑은 고딕"/>
          <w:lang w:val="en-US" w:eastAsia="ko-KR"/>
        </w:rPr>
        <w:t xml:space="preserve"> </w:t>
      </w:r>
    </w:p>
    <w:p w14:paraId="60E2F415" w14:textId="197268D1" w:rsidR="00C777BC" w:rsidRPr="00296405" w:rsidRDefault="00C777BC" w:rsidP="00C777BC">
      <w:pPr>
        <w:jc w:val="left"/>
        <w:rPr>
          <w:rFonts w:eastAsia="맑은 고딕"/>
          <w:b/>
          <w:bCs/>
          <w:lang w:val="en-US" w:eastAsia="ko-KR"/>
        </w:rPr>
      </w:pPr>
      <w:r w:rsidRPr="00296405">
        <w:rPr>
          <w:rFonts w:eastAsia="맑은 고딕" w:hint="eastAsia"/>
          <w:b/>
          <w:bCs/>
          <w:lang w:val="en-US" w:eastAsia="ko-KR"/>
        </w:rPr>
        <w:t>O</w:t>
      </w:r>
      <w:r w:rsidRPr="00296405">
        <w:rPr>
          <w:rFonts w:eastAsia="맑은 고딕"/>
          <w:b/>
          <w:bCs/>
          <w:lang w:val="en-US" w:eastAsia="ko-KR"/>
        </w:rPr>
        <w:t xml:space="preserve">bservation </w:t>
      </w:r>
      <w:r w:rsidR="00296405" w:rsidRPr="00296405">
        <w:rPr>
          <w:rFonts w:eastAsia="맑은 고딕"/>
          <w:b/>
          <w:bCs/>
          <w:lang w:val="en-US" w:eastAsia="ko-KR"/>
        </w:rPr>
        <w:t>5</w:t>
      </w:r>
      <w:r w:rsidRPr="00296405">
        <w:rPr>
          <w:rFonts w:eastAsia="맑은 고딕"/>
          <w:b/>
          <w:bCs/>
          <w:lang w:val="en-US" w:eastAsia="ko-KR"/>
        </w:rPr>
        <w:t>:</w:t>
      </w:r>
      <w:r w:rsidRPr="00296405">
        <w:rPr>
          <w:rFonts w:eastAsia="맑은 고딕"/>
          <w:b/>
          <w:bCs/>
          <w:lang w:val="en-US" w:eastAsia="ko-KR"/>
        </w:rPr>
        <w:tab/>
      </w:r>
      <w:r w:rsidR="00296405">
        <w:rPr>
          <w:rFonts w:eastAsia="맑은 고딕"/>
          <w:b/>
          <w:bCs/>
          <w:lang w:val="en-US" w:eastAsia="ko-KR"/>
        </w:rPr>
        <w:t>W</w:t>
      </w:r>
      <w:r w:rsidR="00296405" w:rsidRPr="00296405">
        <w:rPr>
          <w:rFonts w:eastAsia="맑은 고딕"/>
          <w:b/>
          <w:bCs/>
          <w:lang w:val="en-US" w:eastAsia="ko-KR"/>
        </w:rPr>
        <w:t>hen the Rx chain expands to cover an extended span that includes both carriers, several factors could degrade performance relative to the single-carrier case.</w:t>
      </w:r>
    </w:p>
    <w:p w14:paraId="07C93014" w14:textId="5AAFC49E" w:rsidR="00C777BC" w:rsidRPr="00C777BC" w:rsidRDefault="00C777BC" w:rsidP="00C777BC">
      <w:pPr>
        <w:jc w:val="left"/>
        <w:rPr>
          <w:rFonts w:eastAsia="맑은 고딕"/>
          <w:lang w:val="en-US" w:eastAsia="ko-KR"/>
        </w:rPr>
      </w:pPr>
      <w:r w:rsidRPr="00C777BC">
        <w:rPr>
          <w:rFonts w:eastAsia="맑은 고딕"/>
          <w:lang w:val="en-US" w:eastAsia="ko-KR"/>
        </w:rPr>
        <w:t xml:space="preserve">Therefore, simply requiring the UE to meet the original single-carrier REFSENS for each carrier in Case-3 may be unrealistic in some configurations. To resolve this without creating entirely new numerical sensitivity figures, </w:t>
      </w:r>
      <w:r w:rsidR="00DC29AF">
        <w:rPr>
          <w:rFonts w:eastAsia="맑은 고딕"/>
          <w:lang w:val="en-US" w:eastAsia="ko-KR"/>
        </w:rPr>
        <w:t xml:space="preserve">RAN4 </w:t>
      </w:r>
      <w:r w:rsidR="001E724E">
        <w:rPr>
          <w:rFonts w:eastAsia="맑은 고딕"/>
          <w:lang w:val="en-US" w:eastAsia="ko-KR"/>
        </w:rPr>
        <w:t xml:space="preserve">needs to </w:t>
      </w:r>
      <w:r w:rsidR="00DC29AF">
        <w:rPr>
          <w:rFonts w:eastAsia="맑은 고딕"/>
          <w:lang w:val="en-US" w:eastAsia="ko-KR"/>
        </w:rPr>
        <w:t xml:space="preserve">consider </w:t>
      </w:r>
      <w:r w:rsidR="001E724E">
        <w:rPr>
          <w:rFonts w:eastAsia="맑은 고딕"/>
          <w:lang w:val="en-US" w:eastAsia="ko-KR"/>
        </w:rPr>
        <w:t xml:space="preserve">a </w:t>
      </w:r>
      <w:r w:rsidR="00003AF1">
        <w:rPr>
          <w:rFonts w:eastAsia="맑은 고딕"/>
          <w:lang w:val="en-US" w:eastAsia="ko-KR"/>
        </w:rPr>
        <w:t xml:space="preserve">maximum </w:t>
      </w:r>
      <w:r w:rsidR="00296405">
        <w:rPr>
          <w:rFonts w:eastAsia="맑은 고딕"/>
          <w:lang w:val="en-US" w:eastAsia="ko-KR"/>
        </w:rPr>
        <w:t xml:space="preserve">aggregated </w:t>
      </w:r>
      <w:r w:rsidR="00003AF1">
        <w:rPr>
          <w:rFonts w:eastAsia="맑은 고딕"/>
          <w:lang w:val="en-US" w:eastAsia="ko-KR"/>
        </w:rPr>
        <w:t>channel bandwidth between two adjacent LBs</w:t>
      </w:r>
      <w:r w:rsidR="001E724E">
        <w:rPr>
          <w:rFonts w:eastAsia="맑은 고딕"/>
          <w:lang w:val="en-US" w:eastAsia="ko-KR"/>
        </w:rPr>
        <w:t xml:space="preserve">, which can guarantee the </w:t>
      </w:r>
      <w:r w:rsidR="00296405">
        <w:rPr>
          <w:rFonts w:eastAsia="맑은 고딕"/>
          <w:lang w:val="en-US" w:eastAsia="ko-KR"/>
        </w:rPr>
        <w:t>single-</w:t>
      </w:r>
      <w:r w:rsidR="001E724E">
        <w:rPr>
          <w:rFonts w:eastAsia="맑은 고딕"/>
          <w:lang w:val="en-US" w:eastAsia="ko-KR"/>
        </w:rPr>
        <w:t xml:space="preserve">Rx performance with legacy REFSENS criteria. </w:t>
      </w:r>
    </w:p>
    <w:p w14:paraId="271CDB0D" w14:textId="6C57812A" w:rsidR="00E1123A" w:rsidRPr="00917896" w:rsidRDefault="00E1123A" w:rsidP="00C777BC">
      <w:pPr>
        <w:jc w:val="left"/>
        <w:rPr>
          <w:rFonts w:eastAsia="맑은 고딕"/>
          <w:b/>
          <w:bCs/>
          <w:lang w:val="en-US" w:eastAsia="ko-KR"/>
        </w:rPr>
      </w:pPr>
      <w:r w:rsidRPr="00917896">
        <w:rPr>
          <w:rFonts w:eastAsia="맑은 고딕" w:hint="eastAsia"/>
          <w:b/>
          <w:bCs/>
          <w:lang w:val="en-US" w:eastAsia="ko-KR"/>
        </w:rPr>
        <w:t>P</w:t>
      </w:r>
      <w:r w:rsidRPr="00917896">
        <w:rPr>
          <w:rFonts w:eastAsia="맑은 고딕"/>
          <w:b/>
          <w:bCs/>
          <w:lang w:val="en-US" w:eastAsia="ko-KR"/>
        </w:rPr>
        <w:t xml:space="preserve">roposal </w:t>
      </w:r>
      <w:r w:rsidR="00917896" w:rsidRPr="00917896">
        <w:rPr>
          <w:rFonts w:eastAsia="맑은 고딕"/>
          <w:b/>
          <w:bCs/>
          <w:lang w:val="en-US" w:eastAsia="ko-KR"/>
        </w:rPr>
        <w:t>3</w:t>
      </w:r>
      <w:r w:rsidRPr="00917896">
        <w:rPr>
          <w:rFonts w:eastAsia="맑은 고딕"/>
          <w:b/>
          <w:bCs/>
          <w:lang w:val="en-US" w:eastAsia="ko-KR"/>
        </w:rPr>
        <w:t>:</w:t>
      </w:r>
      <w:r w:rsidRPr="00917896">
        <w:rPr>
          <w:rFonts w:eastAsia="맑은 고딕"/>
          <w:b/>
          <w:bCs/>
          <w:lang w:val="en-US" w:eastAsia="ko-KR"/>
        </w:rPr>
        <w:tab/>
      </w:r>
      <w:r w:rsidRPr="00917896">
        <w:rPr>
          <w:rFonts w:eastAsia="맑은 고딕"/>
          <w:b/>
          <w:bCs/>
          <w:lang w:val="en-US" w:eastAsia="ko-KR"/>
        </w:rPr>
        <w:tab/>
      </w:r>
      <w:r w:rsidR="00917896" w:rsidRPr="00917896">
        <w:rPr>
          <w:rFonts w:eastAsia="맑은 고딕"/>
          <w:b/>
          <w:bCs/>
          <w:lang w:val="en-US" w:eastAsia="ko-KR"/>
        </w:rPr>
        <w:t>RAN4 needs to consider a maximum aggregated channel bandwidth between two adjacent LBs, which can guarantee the single-Rx performance with legacy Rx requirements.</w:t>
      </w:r>
    </w:p>
    <w:p w14:paraId="391272EB" w14:textId="5254648C" w:rsidR="00C777BC" w:rsidRPr="00C777BC" w:rsidRDefault="001E724E" w:rsidP="00C777BC">
      <w:pPr>
        <w:jc w:val="left"/>
        <w:rPr>
          <w:rFonts w:eastAsia="맑은 고딕"/>
          <w:lang w:val="en-US" w:eastAsia="ko-KR"/>
        </w:rPr>
      </w:pPr>
      <w:r>
        <w:rPr>
          <w:rFonts w:eastAsia="맑은 고딕"/>
          <w:lang w:val="en-US" w:eastAsia="ko-KR"/>
        </w:rPr>
        <w:t xml:space="preserve">By doing so, </w:t>
      </w:r>
      <w:r w:rsidR="00C777BC" w:rsidRPr="00C777BC">
        <w:rPr>
          <w:rFonts w:eastAsia="맑은 고딕"/>
          <w:lang w:val="en-US" w:eastAsia="ko-KR"/>
        </w:rPr>
        <w:t>the existing per-carrier single-carrier REFSENS values apply</w:t>
      </w:r>
      <w:r w:rsidR="00E1123A">
        <w:rPr>
          <w:rFonts w:eastAsia="맑은 고딕"/>
          <w:lang w:val="en-US" w:eastAsia="ko-KR"/>
        </w:rPr>
        <w:t>. N</w:t>
      </w:r>
      <w:r w:rsidR="00C777BC" w:rsidRPr="00C777BC">
        <w:rPr>
          <w:rFonts w:eastAsia="맑은 고딕"/>
          <w:lang w:val="en-US" w:eastAsia="ko-KR"/>
        </w:rPr>
        <w:t xml:space="preserve">o new REFSENS values would be introduced into the </w:t>
      </w:r>
      <w:r>
        <w:rPr>
          <w:rFonts w:eastAsia="맑은 고딕"/>
          <w:lang w:val="en-US" w:eastAsia="ko-KR"/>
        </w:rPr>
        <w:t>specification</w:t>
      </w:r>
      <w:r w:rsidR="00E1123A">
        <w:rPr>
          <w:rFonts w:eastAsia="맑은 고딕"/>
          <w:lang w:val="en-US" w:eastAsia="ko-KR"/>
        </w:rPr>
        <w:t>, however, e</w:t>
      </w:r>
      <w:r w:rsidR="00E1123A" w:rsidRPr="00E1123A">
        <w:rPr>
          <w:rFonts w:eastAsia="맑은 고딕"/>
          <w:lang w:val="en-US" w:eastAsia="ko-KR"/>
        </w:rPr>
        <w:t xml:space="preserve">ach downlink carrier should satisfy existing single-carrier requirements for the </w:t>
      </w:r>
      <w:r w:rsidR="00E1123A">
        <w:rPr>
          <w:rFonts w:eastAsia="맑은 고딕"/>
          <w:lang w:val="en-US" w:eastAsia="ko-KR"/>
        </w:rPr>
        <w:t>feature, which is following the legacy intra-band contiguous CA mechanism</w:t>
      </w:r>
      <w:r w:rsidR="00E1123A" w:rsidRPr="00E1123A">
        <w:rPr>
          <w:rFonts w:eastAsia="맑은 고딕"/>
          <w:lang w:val="en-US" w:eastAsia="ko-KR"/>
        </w:rPr>
        <w:t>.</w:t>
      </w:r>
      <w:r w:rsidR="00E1123A">
        <w:rPr>
          <w:rFonts w:eastAsia="맑은 고딕"/>
          <w:lang w:val="en-US" w:eastAsia="ko-KR"/>
        </w:rPr>
        <w:t xml:space="preserve"> </w:t>
      </w:r>
      <w:r w:rsidR="00E1123A" w:rsidRPr="00E1123A">
        <w:rPr>
          <w:rFonts w:eastAsia="맑은 고딕"/>
          <w:lang w:val="en-US" w:eastAsia="ko-KR"/>
        </w:rPr>
        <w:t xml:space="preserve">The same reasoning applies to other receiver requirements such as blocking and adjacent channel selectivity (ACS). Each downlink carrier must individually meet the single-carrier requirements, but additional verification under simultaneous dual-carrier presence may be needed to ensure robustness. Since no uplink transmission occurs during dual downlink operation, self-interference scenarios involving UL leakage are absent, and no new intermodulation or spurious response requirements are proposed at this stage. Only if specific </w:t>
      </w:r>
      <w:r w:rsidR="00E1123A">
        <w:rPr>
          <w:rFonts w:eastAsia="맑은 고딕"/>
          <w:lang w:val="en-US" w:eastAsia="ko-KR"/>
        </w:rPr>
        <w:t xml:space="preserve">aggregated CBWs or separated </w:t>
      </w:r>
      <w:r w:rsidR="00E1123A" w:rsidRPr="00E1123A">
        <w:rPr>
          <w:rFonts w:eastAsia="맑은 고딕"/>
          <w:lang w:val="en-US" w:eastAsia="ko-KR"/>
        </w:rPr>
        <w:t>gaps are later identified would new conditions need to be defined.</w:t>
      </w:r>
    </w:p>
    <w:p w14:paraId="2C70E02C" w14:textId="3514EC91" w:rsidR="00FC2342" w:rsidRDefault="00FC2342" w:rsidP="00FC2342">
      <w:pPr>
        <w:jc w:val="left"/>
        <w:rPr>
          <w:rFonts w:eastAsia="맑은 고딕"/>
          <w:b/>
          <w:bCs/>
          <w:lang w:val="en-US" w:eastAsia="ko-KR"/>
        </w:rPr>
      </w:pPr>
      <w:r w:rsidRPr="00A438F9">
        <w:rPr>
          <w:rFonts w:eastAsia="맑은 고딕" w:hint="eastAsia"/>
          <w:b/>
          <w:bCs/>
          <w:lang w:val="en-US" w:eastAsia="ko-KR"/>
        </w:rPr>
        <w:lastRenderedPageBreak/>
        <w:t>P</w:t>
      </w:r>
      <w:r w:rsidRPr="00A438F9">
        <w:rPr>
          <w:rFonts w:eastAsia="맑은 고딕"/>
          <w:b/>
          <w:bCs/>
          <w:lang w:val="en-US" w:eastAsia="ko-KR"/>
        </w:rPr>
        <w:t xml:space="preserve">roposal </w:t>
      </w:r>
      <w:r w:rsidR="00917896">
        <w:rPr>
          <w:rFonts w:eastAsia="맑은 고딕"/>
          <w:b/>
          <w:bCs/>
          <w:lang w:val="en-US" w:eastAsia="ko-KR"/>
        </w:rPr>
        <w:t>4</w:t>
      </w:r>
      <w:r w:rsidRPr="00A438F9">
        <w:rPr>
          <w:rFonts w:eastAsia="맑은 고딕"/>
          <w:b/>
          <w:bCs/>
          <w:lang w:val="en-US" w:eastAsia="ko-KR"/>
        </w:rPr>
        <w:t>:</w:t>
      </w:r>
      <w:r w:rsidR="00A438F9">
        <w:rPr>
          <w:rFonts w:eastAsia="맑은 고딕"/>
          <w:b/>
          <w:bCs/>
          <w:lang w:val="en-US" w:eastAsia="ko-KR"/>
        </w:rPr>
        <w:tab/>
      </w:r>
      <w:r w:rsidR="00A438F9">
        <w:rPr>
          <w:rFonts w:eastAsia="맑은 고딕"/>
          <w:b/>
          <w:bCs/>
          <w:lang w:val="en-US" w:eastAsia="ko-KR"/>
        </w:rPr>
        <w:tab/>
      </w:r>
      <w:r w:rsidR="004F27CA" w:rsidRPr="00A438F9">
        <w:rPr>
          <w:rFonts w:eastAsia="맑은 고딕"/>
          <w:b/>
          <w:bCs/>
          <w:lang w:val="en-US" w:eastAsia="ko-KR"/>
        </w:rPr>
        <w:t>E</w:t>
      </w:r>
      <w:r w:rsidR="00E1123A" w:rsidRPr="00E1123A">
        <w:rPr>
          <w:rFonts w:eastAsia="맑은 고딕"/>
          <w:b/>
          <w:bCs/>
          <w:lang w:val="en-US" w:eastAsia="ko-KR"/>
        </w:rPr>
        <w:t>ach downlink carrier should satisfy existing single-carrier requirements for the feature, which is following the legacy intra-band contiguous CA mechanism.</w:t>
      </w:r>
    </w:p>
    <w:p w14:paraId="0ABB044C" w14:textId="4C85674C" w:rsidR="00E1123A" w:rsidRPr="00A438F9" w:rsidRDefault="00E1123A" w:rsidP="00FC2342">
      <w:pPr>
        <w:jc w:val="left"/>
        <w:rPr>
          <w:rFonts w:eastAsia="맑은 고딕"/>
          <w:b/>
          <w:bCs/>
          <w:lang w:val="en-US" w:eastAsia="ko-KR"/>
        </w:rPr>
      </w:pPr>
      <w:r>
        <w:rPr>
          <w:rFonts w:eastAsia="맑은 고딕" w:hint="eastAsia"/>
          <w:b/>
          <w:bCs/>
          <w:lang w:val="en-US" w:eastAsia="ko-KR"/>
        </w:rPr>
        <w:t>P</w:t>
      </w:r>
      <w:r>
        <w:rPr>
          <w:rFonts w:eastAsia="맑은 고딕"/>
          <w:b/>
          <w:bCs/>
          <w:lang w:val="en-US" w:eastAsia="ko-KR"/>
        </w:rPr>
        <w:t xml:space="preserve">roposal </w:t>
      </w:r>
      <w:r w:rsidR="00917896">
        <w:rPr>
          <w:rFonts w:eastAsia="맑은 고딕"/>
          <w:b/>
          <w:bCs/>
          <w:lang w:val="en-US" w:eastAsia="ko-KR"/>
        </w:rPr>
        <w:t>5</w:t>
      </w:r>
      <w:r>
        <w:rPr>
          <w:rFonts w:eastAsia="맑은 고딕"/>
          <w:b/>
          <w:bCs/>
          <w:lang w:val="en-US" w:eastAsia="ko-KR"/>
        </w:rPr>
        <w:t>:</w:t>
      </w:r>
      <w:r>
        <w:rPr>
          <w:rFonts w:eastAsia="맑은 고딕"/>
          <w:b/>
          <w:bCs/>
          <w:lang w:val="en-US" w:eastAsia="ko-KR"/>
        </w:rPr>
        <w:tab/>
      </w:r>
      <w:r>
        <w:rPr>
          <w:rFonts w:eastAsia="맑은 고딕"/>
          <w:b/>
          <w:bCs/>
          <w:lang w:val="en-US" w:eastAsia="ko-KR"/>
        </w:rPr>
        <w:tab/>
        <w:t>N</w:t>
      </w:r>
      <w:r w:rsidRPr="00E1123A">
        <w:rPr>
          <w:rFonts w:eastAsia="맑은 고딕"/>
          <w:b/>
          <w:bCs/>
          <w:lang w:val="en-US" w:eastAsia="ko-KR"/>
        </w:rPr>
        <w:t>o new intermodulation or spurious response requirements are proposed at this stage if specific aggregated CBWs or separated gaps are later identified</w:t>
      </w:r>
      <w:r>
        <w:rPr>
          <w:rFonts w:eastAsia="맑은 고딕"/>
          <w:b/>
          <w:bCs/>
          <w:lang w:val="en-US" w:eastAsia="ko-KR"/>
        </w:rPr>
        <w:t>.</w:t>
      </w:r>
    </w:p>
    <w:p w14:paraId="43EE3701" w14:textId="66694064" w:rsidR="006E329B" w:rsidRDefault="00B078D0" w:rsidP="006E329B">
      <w:pPr>
        <w:jc w:val="left"/>
        <w:rPr>
          <w:rFonts w:eastAsia="맑은 고딕"/>
          <w:lang w:val="en-US" w:eastAsia="ko-KR"/>
        </w:rPr>
      </w:pPr>
      <w:r>
        <w:rPr>
          <w:rFonts w:eastAsia="맑은 고딕"/>
          <w:lang w:val="en-US" w:eastAsia="ko-KR"/>
        </w:rPr>
        <w:t>Lastly</w:t>
      </w:r>
      <w:r w:rsidR="006E329B" w:rsidRPr="006E329B">
        <w:rPr>
          <w:rFonts w:eastAsia="맑은 고딕"/>
          <w:lang w:val="en-US" w:eastAsia="ko-KR"/>
        </w:rPr>
        <w:t xml:space="preserve">, it is </w:t>
      </w:r>
      <w:r w:rsidR="00CA3A7B">
        <w:rPr>
          <w:rFonts w:eastAsia="맑은 고딕"/>
          <w:lang w:val="en-US" w:eastAsia="ko-KR"/>
        </w:rPr>
        <w:t xml:space="preserve">also </w:t>
      </w:r>
      <w:r w:rsidR="006E329B" w:rsidRPr="006E329B">
        <w:rPr>
          <w:rFonts w:eastAsia="맑은 고딕"/>
          <w:lang w:val="en-US" w:eastAsia="ko-KR"/>
        </w:rPr>
        <w:t xml:space="preserve">essential to clarify that the scope of this WI is strictly limited to two-band combinations consisting of one FDD DL carrier and one SDL carrier. Extensions to three- or four-band </w:t>
      </w:r>
      <w:r w:rsidR="006E329B">
        <w:rPr>
          <w:rFonts w:eastAsia="맑은 고딕"/>
          <w:lang w:val="en-US" w:eastAsia="ko-KR"/>
        </w:rPr>
        <w:t>combinations</w:t>
      </w:r>
      <w:r w:rsidR="006E329B" w:rsidRPr="006E329B">
        <w:rPr>
          <w:rFonts w:eastAsia="맑은 고딕"/>
          <w:lang w:val="en-US" w:eastAsia="ko-KR"/>
        </w:rPr>
        <w:t xml:space="preserve"> are explicitly excluded</w:t>
      </w:r>
      <w:r w:rsidR="006E329B">
        <w:rPr>
          <w:rFonts w:eastAsia="맑은 고딕"/>
          <w:lang w:val="en-US" w:eastAsia="ko-KR"/>
        </w:rPr>
        <w:t xml:space="preserve"> as discussed in Rel-19</w:t>
      </w:r>
      <w:r w:rsidR="006E329B" w:rsidRPr="006E329B">
        <w:rPr>
          <w:rFonts w:eastAsia="맑은 고딕"/>
          <w:lang w:val="en-US" w:eastAsia="ko-KR"/>
        </w:rPr>
        <w:t xml:space="preserve">. </w:t>
      </w:r>
      <w:r w:rsidR="00CA3A7B">
        <w:rPr>
          <w:rFonts w:eastAsia="맑은 고딕"/>
          <w:lang w:val="en-US" w:eastAsia="ko-KR"/>
        </w:rPr>
        <w:t>In our view, i</w:t>
      </w:r>
      <w:r w:rsidR="006E329B" w:rsidRPr="006E329B">
        <w:rPr>
          <w:rFonts w:eastAsia="맑은 고딕"/>
          <w:lang w:val="en-US" w:eastAsia="ko-KR"/>
        </w:rPr>
        <w:t>ntroducing such multi-band cases would inevitably require considering transmissions on additional bands, uplink coexistence, and more complex interference conditions. Restricting the scope in this way ensures that the WI remains focused, manageable, and aligned with its original objective of supporting single-Rx UEs that cannot declare conventional DL CA capability.</w:t>
      </w:r>
    </w:p>
    <w:p w14:paraId="7370E448" w14:textId="771391D3" w:rsidR="00FD760B" w:rsidRPr="00A438F9" w:rsidRDefault="006E329B" w:rsidP="00A438F9">
      <w:pPr>
        <w:jc w:val="left"/>
        <w:rPr>
          <w:rFonts w:eastAsia="맑은 고딕"/>
          <w:b/>
          <w:bCs/>
          <w:lang w:eastAsia="ko-KR"/>
        </w:rPr>
      </w:pPr>
      <w:r w:rsidRPr="00A438F9">
        <w:rPr>
          <w:rFonts w:eastAsia="맑은 고딕" w:hint="eastAsia"/>
          <w:b/>
          <w:bCs/>
          <w:lang w:val="en-US" w:eastAsia="ko-KR"/>
        </w:rPr>
        <w:t>P</w:t>
      </w:r>
      <w:r w:rsidRPr="00A438F9">
        <w:rPr>
          <w:rFonts w:eastAsia="맑은 고딕"/>
          <w:b/>
          <w:bCs/>
          <w:lang w:val="en-US" w:eastAsia="ko-KR"/>
        </w:rPr>
        <w:t xml:space="preserve">roposal </w:t>
      </w:r>
      <w:r w:rsidR="00917896">
        <w:rPr>
          <w:rFonts w:eastAsia="맑은 고딕"/>
          <w:b/>
          <w:bCs/>
          <w:lang w:val="en-US" w:eastAsia="ko-KR"/>
        </w:rPr>
        <w:t>6</w:t>
      </w:r>
      <w:r w:rsidRPr="00A438F9">
        <w:rPr>
          <w:rFonts w:eastAsia="맑은 고딕"/>
          <w:b/>
          <w:bCs/>
          <w:lang w:val="en-US" w:eastAsia="ko-KR"/>
        </w:rPr>
        <w:t>:</w:t>
      </w:r>
      <w:r w:rsidR="00A438F9">
        <w:rPr>
          <w:rFonts w:eastAsia="맑은 고딕"/>
          <w:b/>
          <w:bCs/>
          <w:lang w:val="en-US" w:eastAsia="ko-KR"/>
        </w:rPr>
        <w:tab/>
      </w:r>
      <w:r w:rsidR="00A438F9">
        <w:rPr>
          <w:rFonts w:eastAsia="맑은 고딕"/>
          <w:b/>
          <w:bCs/>
          <w:lang w:val="en-US" w:eastAsia="ko-KR"/>
        </w:rPr>
        <w:tab/>
      </w:r>
      <w:r w:rsidR="00A438F9" w:rsidRPr="00A438F9">
        <w:rPr>
          <w:rFonts w:eastAsia="맑은 고딕"/>
          <w:b/>
          <w:bCs/>
          <w:lang w:val="en-US" w:eastAsia="ko-KR"/>
        </w:rPr>
        <w:t>Restricting the scope to two-band combinations consisting of one FDD DL carrier and one SDL carrier ensures that the WI remains focused, manageable, and aligned with its original objective of UEs that cannot support conventional DL CA.</w:t>
      </w:r>
    </w:p>
    <w:p w14:paraId="2FE48129" w14:textId="71BB3CB0" w:rsidR="004D4AD9" w:rsidRDefault="00E97142"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23522A4B" w14:textId="571A30A9" w:rsidR="000F259D" w:rsidRPr="004D33B8" w:rsidRDefault="001D0CD7" w:rsidP="00D701CE">
      <w:pPr>
        <w:jc w:val="left"/>
        <w:rPr>
          <w:rFonts w:eastAsiaTheme="minorEastAsia"/>
          <w:lang w:eastAsia="zh-CN"/>
        </w:rPr>
      </w:pPr>
      <w:r>
        <w:rPr>
          <w:rFonts w:eastAsia="맑은 고딕"/>
          <w:lang w:eastAsia="ko-KR"/>
        </w:rPr>
        <w:t>In this contribution, we provide our initial views focusing on the UE RF aspects considering the agreed assumption and restriction in the Rel-</w:t>
      </w:r>
      <w:r w:rsidR="004F4505">
        <w:rPr>
          <w:rFonts w:eastAsia="맑은 고딕"/>
          <w:lang w:eastAsia="ko-KR"/>
        </w:rPr>
        <w:t>20</w:t>
      </w:r>
      <w:r>
        <w:rPr>
          <w:rFonts w:eastAsia="맑은 고딕"/>
          <w:lang w:eastAsia="ko-KR"/>
        </w:rPr>
        <w:t xml:space="preserve"> WID [1]. </w:t>
      </w:r>
      <w:r w:rsidR="00D701CE">
        <w:rPr>
          <w:rFonts w:eastAsia="맑은 고딕"/>
          <w:lang w:eastAsia="ko-KR"/>
        </w:rPr>
        <w:t xml:space="preserve"> F</w:t>
      </w:r>
      <w:r w:rsidR="000F259D" w:rsidRPr="004D33B8">
        <w:rPr>
          <w:rFonts w:eastAsiaTheme="minorEastAsia"/>
          <w:lang w:eastAsia="zh-CN"/>
        </w:rPr>
        <w:t>ollowing observations and proposal</w:t>
      </w:r>
      <w:r w:rsidR="00D701CE">
        <w:rPr>
          <w:rFonts w:eastAsiaTheme="minorEastAsia"/>
          <w:lang w:eastAsia="zh-CN"/>
        </w:rPr>
        <w:t>s</w:t>
      </w:r>
      <w:r w:rsidR="000F259D" w:rsidRPr="004D33B8">
        <w:rPr>
          <w:rFonts w:eastAsiaTheme="minorEastAsia"/>
          <w:lang w:eastAsia="zh-CN"/>
        </w:rPr>
        <w:t xml:space="preserve"> were </w:t>
      </w:r>
      <w:r w:rsidR="00454800" w:rsidRPr="004D33B8">
        <w:rPr>
          <w:rFonts w:eastAsiaTheme="minorEastAsia"/>
          <w:lang w:eastAsia="zh-CN"/>
        </w:rPr>
        <w:t>derived</w:t>
      </w:r>
      <w:r w:rsidR="000F259D" w:rsidRPr="004D33B8">
        <w:rPr>
          <w:rFonts w:eastAsiaTheme="minorEastAsia"/>
          <w:lang w:eastAsia="zh-CN"/>
        </w:rPr>
        <w:t>.</w:t>
      </w:r>
    </w:p>
    <w:p w14:paraId="0150E5B4" w14:textId="77777777" w:rsidR="00917896" w:rsidRPr="00A438F9" w:rsidRDefault="00917896" w:rsidP="00917896">
      <w:pPr>
        <w:jc w:val="left"/>
        <w:rPr>
          <w:rFonts w:eastAsia="맑은 고딕"/>
          <w:b/>
          <w:bCs/>
          <w:lang w:val="en-US" w:eastAsia="ko-KR"/>
        </w:rPr>
      </w:pPr>
      <w:r w:rsidRPr="00A438F9">
        <w:rPr>
          <w:rFonts w:eastAsia="맑은 고딕" w:hint="eastAsia"/>
          <w:b/>
          <w:bCs/>
          <w:lang w:val="en-US" w:eastAsia="ko-KR"/>
        </w:rPr>
        <w:t>O</w:t>
      </w:r>
      <w:r w:rsidRPr="00A438F9">
        <w:rPr>
          <w:rFonts w:eastAsia="맑은 고딕"/>
          <w:b/>
          <w:bCs/>
          <w:lang w:val="en-US" w:eastAsia="ko-KR"/>
        </w:rPr>
        <w:t>bservation 1:</w:t>
      </w:r>
      <w:r w:rsidRPr="00A438F9">
        <w:rPr>
          <w:rFonts w:eastAsia="맑은 고딕"/>
          <w:b/>
          <w:bCs/>
          <w:lang w:val="en-US" w:eastAsia="ko-KR"/>
        </w:rPr>
        <w:tab/>
        <w:t>The scope of the Rel-20 WI expands beyond simple FDD/SDL switching into the dual downlink scenario, where both an FDD DL carrier and an SDL carrier may be received simultaneously under the switching framework.</w:t>
      </w:r>
    </w:p>
    <w:p w14:paraId="1788DA7F" w14:textId="77777777" w:rsidR="00917896" w:rsidRPr="00A438F9" w:rsidRDefault="00917896" w:rsidP="00917896">
      <w:pPr>
        <w:jc w:val="left"/>
        <w:rPr>
          <w:rFonts w:eastAsia="맑은 고딕"/>
          <w:b/>
          <w:bCs/>
          <w:lang w:val="en-US" w:eastAsia="ko-KR"/>
        </w:rPr>
      </w:pPr>
      <w:r w:rsidRPr="00A438F9">
        <w:rPr>
          <w:rFonts w:eastAsia="맑은 고딕" w:hint="eastAsia"/>
          <w:b/>
          <w:bCs/>
          <w:lang w:val="en-US" w:eastAsia="ko-KR"/>
        </w:rPr>
        <w:t>O</w:t>
      </w:r>
      <w:r w:rsidRPr="00A438F9">
        <w:rPr>
          <w:rFonts w:eastAsia="맑은 고딕"/>
          <w:b/>
          <w:bCs/>
          <w:lang w:val="en-US" w:eastAsia="ko-KR"/>
        </w:rPr>
        <w:t>bservation 2:</w:t>
      </w:r>
      <w:r w:rsidRPr="00A438F9">
        <w:rPr>
          <w:rFonts w:eastAsia="맑은 고딕"/>
          <w:b/>
          <w:bCs/>
          <w:lang w:val="en-US" w:eastAsia="ko-KR"/>
        </w:rPr>
        <w:tab/>
        <w:t>The uplink behavior under Rel-20 dual DL switching remains fundamentally identical to Rel-19.</w:t>
      </w:r>
    </w:p>
    <w:p w14:paraId="78330523" w14:textId="77777777" w:rsidR="00917896" w:rsidRPr="00A438F9" w:rsidRDefault="00917896" w:rsidP="00917896">
      <w:pPr>
        <w:jc w:val="left"/>
        <w:rPr>
          <w:rFonts w:eastAsia="맑은 고딕"/>
          <w:b/>
          <w:bCs/>
          <w:lang w:val="en-US" w:eastAsia="ko-KR"/>
        </w:rPr>
      </w:pPr>
      <w:r w:rsidRPr="00A438F9">
        <w:rPr>
          <w:rFonts w:eastAsia="맑은 고딕" w:hint="eastAsia"/>
          <w:b/>
          <w:bCs/>
          <w:lang w:val="en-US" w:eastAsia="ko-KR"/>
        </w:rPr>
        <w:t>P</w:t>
      </w:r>
      <w:r w:rsidRPr="00A438F9">
        <w:rPr>
          <w:rFonts w:eastAsia="맑은 고딕"/>
          <w:b/>
          <w:bCs/>
          <w:lang w:val="en-US" w:eastAsia="ko-KR"/>
        </w:rPr>
        <w:t>roposal 1:</w:t>
      </w:r>
      <w:r w:rsidRPr="00A438F9">
        <w:rPr>
          <w:rFonts w:eastAsia="맑은 고딕"/>
          <w:b/>
          <w:bCs/>
          <w:lang w:val="en-US" w:eastAsia="ko-KR"/>
        </w:rPr>
        <w:tab/>
      </w:r>
      <w:r w:rsidRPr="00A438F9">
        <w:rPr>
          <w:rFonts w:eastAsia="맑은 고딕"/>
          <w:b/>
          <w:bCs/>
          <w:lang w:val="en-US" w:eastAsia="ko-KR"/>
        </w:rPr>
        <w:tab/>
        <w:t>No new uplink-related requirements are necessary, and the existing Rel-19 UL time mask can be directly reused without any modification.</w:t>
      </w:r>
    </w:p>
    <w:p w14:paraId="58591499" w14:textId="77777777" w:rsidR="00917896" w:rsidRPr="00417A32" w:rsidRDefault="00917896" w:rsidP="00917896">
      <w:pPr>
        <w:jc w:val="left"/>
        <w:rPr>
          <w:rFonts w:eastAsia="맑은 고딕"/>
          <w:b/>
          <w:bCs/>
          <w:lang w:eastAsia="ko-KR"/>
        </w:rPr>
      </w:pPr>
      <w:r w:rsidRPr="00417A32">
        <w:rPr>
          <w:rFonts w:eastAsia="맑은 고딕" w:hint="eastAsia"/>
          <w:b/>
          <w:bCs/>
          <w:lang w:eastAsia="ko-KR"/>
        </w:rPr>
        <w:t>O</w:t>
      </w:r>
      <w:r w:rsidRPr="00417A32">
        <w:rPr>
          <w:rFonts w:eastAsia="맑은 고딕"/>
          <w:b/>
          <w:bCs/>
          <w:lang w:eastAsia="ko-KR"/>
        </w:rPr>
        <w:t>bservation 3:</w:t>
      </w:r>
      <w:r w:rsidRPr="00417A32">
        <w:rPr>
          <w:rFonts w:eastAsia="맑은 고딕"/>
          <w:b/>
          <w:bCs/>
          <w:lang w:eastAsia="ko-KR"/>
        </w:rPr>
        <w:tab/>
        <w:t>The WID initially describes its scope as applying to adjacent FDD DL and SDL band combinations under the condition of “no-gap impact.”</w:t>
      </w:r>
    </w:p>
    <w:p w14:paraId="6C7823FF" w14:textId="77777777" w:rsidR="00917896" w:rsidRPr="00417A32" w:rsidRDefault="00917896" w:rsidP="00917896">
      <w:pPr>
        <w:jc w:val="left"/>
        <w:rPr>
          <w:rFonts w:eastAsia="맑은 고딕"/>
          <w:b/>
          <w:bCs/>
          <w:lang w:eastAsia="ko-KR"/>
        </w:rPr>
      </w:pPr>
      <w:r w:rsidRPr="00417A32">
        <w:rPr>
          <w:rFonts w:eastAsia="맑은 고딕" w:hint="eastAsia"/>
          <w:b/>
          <w:bCs/>
          <w:lang w:eastAsia="ko-KR"/>
        </w:rPr>
        <w:t>P</w:t>
      </w:r>
      <w:r w:rsidRPr="00417A32">
        <w:rPr>
          <w:rFonts w:eastAsia="맑은 고딕"/>
          <w:b/>
          <w:bCs/>
          <w:lang w:eastAsia="ko-KR"/>
        </w:rPr>
        <w:t>roposal 2:</w:t>
      </w:r>
      <w:r w:rsidRPr="00417A32">
        <w:rPr>
          <w:rFonts w:eastAsia="맑은 고딕"/>
          <w:b/>
          <w:bCs/>
          <w:lang w:eastAsia="ko-KR"/>
        </w:rPr>
        <w:tab/>
      </w:r>
      <w:r w:rsidRPr="00417A32">
        <w:rPr>
          <w:rFonts w:eastAsia="맑은 고딕"/>
          <w:b/>
          <w:bCs/>
          <w:lang w:eastAsia="ko-KR"/>
        </w:rPr>
        <w:tab/>
        <w:t>A maximum allowable separation below which the two carriers are considered in conjunction with the maximum aggregated channel bandwidth (CBW) that a single Rx chain can process.</w:t>
      </w:r>
    </w:p>
    <w:p w14:paraId="5809D57C" w14:textId="77777777" w:rsidR="00917896" w:rsidRPr="00A438F9" w:rsidRDefault="00917896" w:rsidP="00917896">
      <w:pPr>
        <w:jc w:val="left"/>
        <w:rPr>
          <w:rFonts w:eastAsia="맑은 고딕"/>
          <w:b/>
          <w:bCs/>
          <w:lang w:val="en-US" w:eastAsia="ko-KR"/>
        </w:rPr>
      </w:pPr>
      <w:r w:rsidRPr="00A438F9">
        <w:rPr>
          <w:rFonts w:eastAsia="맑은 고딕" w:hint="eastAsia"/>
          <w:b/>
          <w:bCs/>
          <w:lang w:val="en-US" w:eastAsia="ko-KR"/>
        </w:rPr>
        <w:t>O</w:t>
      </w:r>
      <w:r w:rsidRPr="00A438F9">
        <w:rPr>
          <w:rFonts w:eastAsia="맑은 고딕"/>
          <w:b/>
          <w:bCs/>
          <w:lang w:val="en-US" w:eastAsia="ko-KR"/>
        </w:rPr>
        <w:t>bservation 4:</w:t>
      </w:r>
      <w:r w:rsidRPr="00A438F9">
        <w:rPr>
          <w:rFonts w:eastAsia="맑은 고딕"/>
          <w:b/>
          <w:bCs/>
          <w:lang w:val="en-US" w:eastAsia="ko-KR"/>
        </w:rPr>
        <w:tab/>
        <w:t>The main purpose of this WI is to enable UEs with only a single low-band Rx chain to realize some of the benefits of DL CA.</w:t>
      </w:r>
    </w:p>
    <w:p w14:paraId="0C4FECF6" w14:textId="77777777" w:rsidR="00917896" w:rsidRPr="00296405" w:rsidRDefault="00917896" w:rsidP="00917896">
      <w:pPr>
        <w:jc w:val="left"/>
        <w:rPr>
          <w:rFonts w:eastAsia="맑은 고딕"/>
          <w:b/>
          <w:bCs/>
          <w:lang w:val="en-US" w:eastAsia="ko-KR"/>
        </w:rPr>
      </w:pPr>
      <w:r w:rsidRPr="00296405">
        <w:rPr>
          <w:rFonts w:eastAsia="맑은 고딕" w:hint="eastAsia"/>
          <w:b/>
          <w:bCs/>
          <w:lang w:val="en-US" w:eastAsia="ko-KR"/>
        </w:rPr>
        <w:t>O</w:t>
      </w:r>
      <w:r w:rsidRPr="00296405">
        <w:rPr>
          <w:rFonts w:eastAsia="맑은 고딕"/>
          <w:b/>
          <w:bCs/>
          <w:lang w:val="en-US" w:eastAsia="ko-KR"/>
        </w:rPr>
        <w:t>bservation 5:</w:t>
      </w:r>
      <w:r w:rsidRPr="00296405">
        <w:rPr>
          <w:rFonts w:eastAsia="맑은 고딕"/>
          <w:b/>
          <w:bCs/>
          <w:lang w:val="en-US" w:eastAsia="ko-KR"/>
        </w:rPr>
        <w:tab/>
      </w:r>
      <w:r>
        <w:rPr>
          <w:rFonts w:eastAsia="맑은 고딕"/>
          <w:b/>
          <w:bCs/>
          <w:lang w:val="en-US" w:eastAsia="ko-KR"/>
        </w:rPr>
        <w:t>W</w:t>
      </w:r>
      <w:r w:rsidRPr="00296405">
        <w:rPr>
          <w:rFonts w:eastAsia="맑은 고딕"/>
          <w:b/>
          <w:bCs/>
          <w:lang w:val="en-US" w:eastAsia="ko-KR"/>
        </w:rPr>
        <w:t>hen the Rx chain expands to cover an extended span that includes both carriers, several factors could degrade performance relative to the single-carrier case.</w:t>
      </w:r>
    </w:p>
    <w:p w14:paraId="714256F5" w14:textId="77777777" w:rsidR="00917896" w:rsidRPr="00917896" w:rsidRDefault="00917896" w:rsidP="00917896">
      <w:pPr>
        <w:jc w:val="left"/>
        <w:rPr>
          <w:rFonts w:eastAsia="맑은 고딕"/>
          <w:b/>
          <w:bCs/>
          <w:lang w:val="en-US" w:eastAsia="ko-KR"/>
        </w:rPr>
      </w:pPr>
      <w:r w:rsidRPr="00917896">
        <w:rPr>
          <w:rFonts w:eastAsia="맑은 고딕" w:hint="eastAsia"/>
          <w:b/>
          <w:bCs/>
          <w:lang w:val="en-US" w:eastAsia="ko-KR"/>
        </w:rPr>
        <w:t>P</w:t>
      </w:r>
      <w:r w:rsidRPr="00917896">
        <w:rPr>
          <w:rFonts w:eastAsia="맑은 고딕"/>
          <w:b/>
          <w:bCs/>
          <w:lang w:val="en-US" w:eastAsia="ko-KR"/>
        </w:rPr>
        <w:t>roposal 3:</w:t>
      </w:r>
      <w:r w:rsidRPr="00917896">
        <w:rPr>
          <w:rFonts w:eastAsia="맑은 고딕"/>
          <w:b/>
          <w:bCs/>
          <w:lang w:val="en-US" w:eastAsia="ko-KR"/>
        </w:rPr>
        <w:tab/>
      </w:r>
      <w:r w:rsidRPr="00917896">
        <w:rPr>
          <w:rFonts w:eastAsia="맑은 고딕"/>
          <w:b/>
          <w:bCs/>
          <w:lang w:val="en-US" w:eastAsia="ko-KR"/>
        </w:rPr>
        <w:tab/>
        <w:t>RAN4 needs to consider a maximum aggregated channel bandwidth between two adjacent LBs, which can guarantee the single-Rx performance with legacy Rx requirements.</w:t>
      </w:r>
    </w:p>
    <w:p w14:paraId="190EDAAF" w14:textId="77777777" w:rsidR="00917896" w:rsidRDefault="00917896" w:rsidP="00917896">
      <w:pPr>
        <w:jc w:val="left"/>
        <w:rPr>
          <w:rFonts w:eastAsia="맑은 고딕"/>
          <w:b/>
          <w:bCs/>
          <w:lang w:val="en-US" w:eastAsia="ko-KR"/>
        </w:rPr>
      </w:pPr>
      <w:r w:rsidRPr="00A438F9">
        <w:rPr>
          <w:rFonts w:eastAsia="맑은 고딕" w:hint="eastAsia"/>
          <w:b/>
          <w:bCs/>
          <w:lang w:val="en-US" w:eastAsia="ko-KR"/>
        </w:rPr>
        <w:t>P</w:t>
      </w:r>
      <w:r w:rsidRPr="00A438F9">
        <w:rPr>
          <w:rFonts w:eastAsia="맑은 고딕"/>
          <w:b/>
          <w:bCs/>
          <w:lang w:val="en-US" w:eastAsia="ko-KR"/>
        </w:rPr>
        <w:t xml:space="preserve">roposal </w:t>
      </w:r>
      <w:r>
        <w:rPr>
          <w:rFonts w:eastAsia="맑은 고딕"/>
          <w:b/>
          <w:bCs/>
          <w:lang w:val="en-US" w:eastAsia="ko-KR"/>
        </w:rPr>
        <w:t>4</w:t>
      </w:r>
      <w:r w:rsidRPr="00A438F9">
        <w:rPr>
          <w:rFonts w:eastAsia="맑은 고딕"/>
          <w:b/>
          <w:bCs/>
          <w:lang w:val="en-US" w:eastAsia="ko-KR"/>
        </w:rPr>
        <w:t>:</w:t>
      </w:r>
      <w:r>
        <w:rPr>
          <w:rFonts w:eastAsia="맑은 고딕"/>
          <w:b/>
          <w:bCs/>
          <w:lang w:val="en-US" w:eastAsia="ko-KR"/>
        </w:rPr>
        <w:tab/>
      </w:r>
      <w:r>
        <w:rPr>
          <w:rFonts w:eastAsia="맑은 고딕"/>
          <w:b/>
          <w:bCs/>
          <w:lang w:val="en-US" w:eastAsia="ko-KR"/>
        </w:rPr>
        <w:tab/>
      </w:r>
      <w:r w:rsidRPr="00A438F9">
        <w:rPr>
          <w:rFonts w:eastAsia="맑은 고딕"/>
          <w:b/>
          <w:bCs/>
          <w:lang w:val="en-US" w:eastAsia="ko-KR"/>
        </w:rPr>
        <w:t>E</w:t>
      </w:r>
      <w:r w:rsidRPr="00E1123A">
        <w:rPr>
          <w:rFonts w:eastAsia="맑은 고딕"/>
          <w:b/>
          <w:bCs/>
          <w:lang w:val="en-US" w:eastAsia="ko-KR"/>
        </w:rPr>
        <w:t>ach downlink carrier should satisfy existing single-carrier requirements for the feature, which is following the legacy intra-band contiguous CA mechanism.</w:t>
      </w:r>
    </w:p>
    <w:p w14:paraId="69E831C8" w14:textId="77777777" w:rsidR="00917896" w:rsidRPr="00A438F9" w:rsidRDefault="00917896" w:rsidP="00917896">
      <w:pPr>
        <w:jc w:val="left"/>
        <w:rPr>
          <w:rFonts w:eastAsia="맑은 고딕"/>
          <w:b/>
          <w:bCs/>
          <w:lang w:val="en-US" w:eastAsia="ko-KR"/>
        </w:rPr>
      </w:pPr>
      <w:r>
        <w:rPr>
          <w:rFonts w:eastAsia="맑은 고딕" w:hint="eastAsia"/>
          <w:b/>
          <w:bCs/>
          <w:lang w:val="en-US" w:eastAsia="ko-KR"/>
        </w:rPr>
        <w:t>P</w:t>
      </w:r>
      <w:r>
        <w:rPr>
          <w:rFonts w:eastAsia="맑은 고딕"/>
          <w:b/>
          <w:bCs/>
          <w:lang w:val="en-US" w:eastAsia="ko-KR"/>
        </w:rPr>
        <w:t>roposal 5:</w:t>
      </w:r>
      <w:r>
        <w:rPr>
          <w:rFonts w:eastAsia="맑은 고딕"/>
          <w:b/>
          <w:bCs/>
          <w:lang w:val="en-US" w:eastAsia="ko-KR"/>
        </w:rPr>
        <w:tab/>
      </w:r>
      <w:r>
        <w:rPr>
          <w:rFonts w:eastAsia="맑은 고딕"/>
          <w:b/>
          <w:bCs/>
          <w:lang w:val="en-US" w:eastAsia="ko-KR"/>
        </w:rPr>
        <w:tab/>
        <w:t>N</w:t>
      </w:r>
      <w:r w:rsidRPr="00E1123A">
        <w:rPr>
          <w:rFonts w:eastAsia="맑은 고딕"/>
          <w:b/>
          <w:bCs/>
          <w:lang w:val="en-US" w:eastAsia="ko-KR"/>
        </w:rPr>
        <w:t>o new intermodulation or spurious response requirements are proposed at this stage if specific aggregated CBWs or separated gaps are later identified</w:t>
      </w:r>
      <w:r>
        <w:rPr>
          <w:rFonts w:eastAsia="맑은 고딕"/>
          <w:b/>
          <w:bCs/>
          <w:lang w:val="en-US" w:eastAsia="ko-KR"/>
        </w:rPr>
        <w:t>.</w:t>
      </w:r>
    </w:p>
    <w:p w14:paraId="0BCAA711" w14:textId="77777777" w:rsidR="00917896" w:rsidRPr="00A438F9" w:rsidRDefault="00917896" w:rsidP="00917896">
      <w:pPr>
        <w:jc w:val="left"/>
        <w:rPr>
          <w:rFonts w:eastAsia="맑은 고딕"/>
          <w:b/>
          <w:bCs/>
          <w:lang w:eastAsia="ko-KR"/>
        </w:rPr>
      </w:pPr>
      <w:r w:rsidRPr="00A438F9">
        <w:rPr>
          <w:rFonts w:eastAsia="맑은 고딕" w:hint="eastAsia"/>
          <w:b/>
          <w:bCs/>
          <w:lang w:val="en-US" w:eastAsia="ko-KR"/>
        </w:rPr>
        <w:t>P</w:t>
      </w:r>
      <w:r w:rsidRPr="00A438F9">
        <w:rPr>
          <w:rFonts w:eastAsia="맑은 고딕"/>
          <w:b/>
          <w:bCs/>
          <w:lang w:val="en-US" w:eastAsia="ko-KR"/>
        </w:rPr>
        <w:t xml:space="preserve">roposal </w:t>
      </w:r>
      <w:r>
        <w:rPr>
          <w:rFonts w:eastAsia="맑은 고딕"/>
          <w:b/>
          <w:bCs/>
          <w:lang w:val="en-US" w:eastAsia="ko-KR"/>
        </w:rPr>
        <w:t>6</w:t>
      </w:r>
      <w:r w:rsidRPr="00A438F9">
        <w:rPr>
          <w:rFonts w:eastAsia="맑은 고딕"/>
          <w:b/>
          <w:bCs/>
          <w:lang w:val="en-US" w:eastAsia="ko-KR"/>
        </w:rPr>
        <w:t>:</w:t>
      </w:r>
      <w:r>
        <w:rPr>
          <w:rFonts w:eastAsia="맑은 고딕"/>
          <w:b/>
          <w:bCs/>
          <w:lang w:val="en-US" w:eastAsia="ko-KR"/>
        </w:rPr>
        <w:tab/>
      </w:r>
      <w:r>
        <w:rPr>
          <w:rFonts w:eastAsia="맑은 고딕"/>
          <w:b/>
          <w:bCs/>
          <w:lang w:val="en-US" w:eastAsia="ko-KR"/>
        </w:rPr>
        <w:tab/>
      </w:r>
      <w:r w:rsidRPr="00A438F9">
        <w:rPr>
          <w:rFonts w:eastAsia="맑은 고딕"/>
          <w:b/>
          <w:bCs/>
          <w:lang w:val="en-US" w:eastAsia="ko-KR"/>
        </w:rPr>
        <w:t>Restricting the scope to two-band combinations consisting of one FDD DL carrier and one SDL carrier ensures that the WI remains focused, manageable, and aligned with its original objective of UEs that cannot support conventional DL CA.</w:t>
      </w:r>
    </w:p>
    <w:p w14:paraId="1586C041" w14:textId="5C7FB5E9" w:rsidR="009B37B2" w:rsidRDefault="00825D14">
      <w:pPr>
        <w:pStyle w:val="1"/>
        <w:rPr>
          <w:lang w:val="en-US" w:eastAsia="ja-JP"/>
        </w:rPr>
      </w:pPr>
      <w:r>
        <w:rPr>
          <w:lang w:val="en-US" w:eastAsia="ja-JP"/>
        </w:rPr>
        <w:lastRenderedPageBreak/>
        <w:t>Re</w:t>
      </w:r>
      <w:r w:rsidR="000C758B">
        <w:rPr>
          <w:lang w:val="en-US" w:eastAsia="ja-JP"/>
        </w:rPr>
        <w:t>ference</w:t>
      </w:r>
    </w:p>
    <w:p w14:paraId="364E6BB7" w14:textId="4C21E8B4" w:rsidR="00EB47C4" w:rsidRDefault="000F259D" w:rsidP="001D0CD7">
      <w:pPr>
        <w:pStyle w:val="20"/>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[1] </w:t>
      </w:r>
      <w:r w:rsidR="005D18BC" w:rsidRPr="005D18BC">
        <w:rPr>
          <w:lang w:val="en-US" w:eastAsia="zh-CN"/>
        </w:rPr>
        <w:tab/>
      </w:r>
      <w:r w:rsidR="00B31F3E">
        <w:rPr>
          <w:lang w:val="en-US" w:eastAsia="zh-CN"/>
        </w:rPr>
        <w:t>RP-252953</w:t>
      </w:r>
      <w:r w:rsidR="00B31F3E">
        <w:rPr>
          <w:lang w:val="en-US" w:eastAsia="zh-CN"/>
        </w:rPr>
        <w:tab/>
      </w:r>
      <w:r w:rsidR="00B31F3E" w:rsidRPr="00B31F3E">
        <w:rPr>
          <w:lang w:val="en-US" w:eastAsia="zh-CN"/>
        </w:rPr>
        <w:t>New WID on enhancement of low NR band carrier aggregation via switching</w:t>
      </w:r>
      <w:r w:rsidR="00B31F3E">
        <w:rPr>
          <w:lang w:val="en-US" w:eastAsia="zh-CN"/>
        </w:rPr>
        <w:tab/>
      </w:r>
      <w:r w:rsidR="00B31F3E">
        <w:rPr>
          <w:lang w:val="en-US" w:eastAsia="zh-CN"/>
        </w:rPr>
        <w:tab/>
        <w:t>RAN#109</w:t>
      </w:r>
    </w:p>
    <w:p w14:paraId="4BE91F33" w14:textId="4B5B60E7" w:rsidR="00B31F3E" w:rsidRDefault="00B31F3E" w:rsidP="001D0CD7">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Pr>
          <w:rFonts w:eastAsia="맑은 고딕" w:hint="eastAsia"/>
          <w:lang w:val="en-US" w:eastAsia="ko-KR"/>
        </w:rPr>
        <w:t>[</w:t>
      </w:r>
      <w:r>
        <w:rPr>
          <w:rFonts w:eastAsia="맑은 고딕"/>
          <w:lang w:val="en-US" w:eastAsia="ko-KR"/>
        </w:rPr>
        <w:t>2]</w:t>
      </w:r>
      <w:r>
        <w:rPr>
          <w:rFonts w:eastAsia="맑은 고딕"/>
          <w:lang w:val="en-US" w:eastAsia="ko-KR"/>
        </w:rPr>
        <w:tab/>
        <w:t>R4-2509202</w:t>
      </w:r>
      <w:r>
        <w:rPr>
          <w:rFonts w:eastAsia="맑은 고딕"/>
          <w:lang w:val="en-US" w:eastAsia="ko-KR"/>
        </w:rPr>
        <w:tab/>
      </w:r>
      <w:r w:rsidRPr="00B31F3E">
        <w:rPr>
          <w:rFonts w:eastAsia="맑은 고딕"/>
          <w:lang w:val="en-US" w:eastAsia="ko-KR"/>
        </w:rPr>
        <w:t>Draft TR 38.768 v1.1.0 Low NR Band Carrier Aggregation via Switching</w:t>
      </w:r>
      <w:r>
        <w:rPr>
          <w:rFonts w:eastAsia="맑은 고딕"/>
          <w:lang w:val="en-US" w:eastAsia="ko-KR"/>
        </w:rPr>
        <w:tab/>
      </w:r>
      <w:r>
        <w:rPr>
          <w:rFonts w:eastAsia="맑은 고딕"/>
          <w:lang w:val="en-US" w:eastAsia="ko-KR"/>
        </w:rPr>
        <w:tab/>
      </w:r>
      <w:r>
        <w:rPr>
          <w:rFonts w:eastAsia="맑은 고딕"/>
          <w:lang w:val="en-US" w:eastAsia="ko-KR"/>
        </w:rPr>
        <w:tab/>
        <w:t>RAN4#116</w:t>
      </w:r>
    </w:p>
    <w:p w14:paraId="0BA14DA5" w14:textId="09592F4C" w:rsidR="00AD588C" w:rsidRPr="00B31F3E" w:rsidRDefault="00AD588C" w:rsidP="001D0CD7">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Pr>
          <w:rFonts w:eastAsia="맑은 고딕" w:hint="eastAsia"/>
          <w:lang w:val="en-US" w:eastAsia="ko-KR"/>
        </w:rPr>
        <w:t>[</w:t>
      </w:r>
      <w:r>
        <w:rPr>
          <w:rFonts w:eastAsia="맑은 고딕"/>
          <w:lang w:val="en-US" w:eastAsia="ko-KR"/>
        </w:rPr>
        <w:t>3]</w:t>
      </w:r>
      <w:r>
        <w:rPr>
          <w:rFonts w:eastAsia="맑은 고딕"/>
          <w:lang w:val="en-US" w:eastAsia="ko-KR"/>
        </w:rPr>
        <w:tab/>
        <w:t>R4-2511894</w:t>
      </w:r>
      <w:r>
        <w:rPr>
          <w:rFonts w:eastAsia="맑은 고딕"/>
          <w:lang w:val="en-US" w:eastAsia="ko-KR"/>
        </w:rPr>
        <w:tab/>
      </w:r>
      <w:r w:rsidRPr="00AD588C">
        <w:rPr>
          <w:rFonts w:eastAsia="맑은 고딕"/>
          <w:lang w:val="en-US" w:eastAsia="ko-KR"/>
        </w:rPr>
        <w:t>Introducing low NR band aggregation via switching to TS38.101-1</w:t>
      </w:r>
      <w:r>
        <w:rPr>
          <w:rFonts w:eastAsia="맑은 고딕"/>
          <w:lang w:val="en-US" w:eastAsia="ko-KR"/>
        </w:rPr>
        <w:tab/>
      </w:r>
      <w:r>
        <w:rPr>
          <w:rFonts w:eastAsia="맑은 고딕"/>
          <w:lang w:val="en-US" w:eastAsia="ko-KR"/>
        </w:rPr>
        <w:tab/>
      </w:r>
      <w:r>
        <w:rPr>
          <w:rFonts w:eastAsia="맑은 고딕"/>
          <w:lang w:val="en-US" w:eastAsia="ko-KR"/>
        </w:rPr>
        <w:tab/>
      </w:r>
      <w:r>
        <w:rPr>
          <w:rFonts w:eastAsia="맑은 고딕"/>
          <w:lang w:val="en-US" w:eastAsia="ko-KR"/>
        </w:rPr>
        <w:tab/>
      </w:r>
      <w:r>
        <w:rPr>
          <w:rFonts w:eastAsia="맑은 고딕"/>
          <w:lang w:val="en-US" w:eastAsia="ko-KR"/>
        </w:rPr>
        <w:tab/>
        <w:t>RAN4#116</w:t>
      </w:r>
    </w:p>
    <w:sectPr w:rsidR="00AD588C" w:rsidRPr="00B31F3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FC77D" w14:textId="77777777" w:rsidR="006F4AF1" w:rsidRDefault="006F4AF1" w:rsidP="00FC2656">
      <w:pPr>
        <w:spacing w:after="0" w:line="240" w:lineRule="auto"/>
      </w:pPr>
      <w:r>
        <w:separator/>
      </w:r>
    </w:p>
  </w:endnote>
  <w:endnote w:type="continuationSeparator" w:id="0">
    <w:p w14:paraId="18119312" w14:textId="77777777" w:rsidR="006F4AF1" w:rsidRDefault="006F4AF1"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B53CD" w14:textId="77777777" w:rsidR="006F4AF1" w:rsidRDefault="006F4AF1" w:rsidP="00FC2656">
      <w:pPr>
        <w:spacing w:after="0" w:line="240" w:lineRule="auto"/>
      </w:pPr>
      <w:r>
        <w:separator/>
      </w:r>
    </w:p>
  </w:footnote>
  <w:footnote w:type="continuationSeparator" w:id="0">
    <w:p w14:paraId="5B2879D9" w14:textId="77777777" w:rsidR="006F4AF1" w:rsidRDefault="006F4AF1"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01BF3"/>
    <w:multiLevelType w:val="hybridMultilevel"/>
    <w:tmpl w:val="B4A217D8"/>
    <w:lvl w:ilvl="0" w:tplc="6F4AECA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3F501F84"/>
    <w:multiLevelType w:val="hybridMultilevel"/>
    <w:tmpl w:val="90D83300"/>
    <w:lvl w:ilvl="0" w:tplc="554A5E2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C395E71"/>
    <w:multiLevelType w:val="hybridMultilevel"/>
    <w:tmpl w:val="53C8B160"/>
    <w:lvl w:ilvl="0" w:tplc="D98A2B0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4136602"/>
    <w:multiLevelType w:val="hybridMultilevel"/>
    <w:tmpl w:val="E7483E52"/>
    <w:lvl w:ilvl="0" w:tplc="403CA18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6"/>
  </w:num>
  <w:num w:numId="3">
    <w:abstractNumId w:val="1"/>
  </w:num>
  <w:num w:numId="4">
    <w:abstractNumId w:val="4"/>
  </w:num>
  <w:num w:numId="5">
    <w:abstractNumId w:val="0"/>
  </w:num>
  <w:num w:numId="6">
    <w:abstractNumId w:val="5"/>
  </w:num>
  <w:num w:numId="7">
    <w:abstractNumId w:val="7"/>
  </w:num>
  <w:num w:numId="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3AF1"/>
    <w:rsid w:val="00004165"/>
    <w:rsid w:val="000045B1"/>
    <w:rsid w:val="0000707D"/>
    <w:rsid w:val="00014BD4"/>
    <w:rsid w:val="0001661A"/>
    <w:rsid w:val="00017F05"/>
    <w:rsid w:val="0002013D"/>
    <w:rsid w:val="00020C56"/>
    <w:rsid w:val="00026ACC"/>
    <w:rsid w:val="00030B9D"/>
    <w:rsid w:val="0003171D"/>
    <w:rsid w:val="00031C1D"/>
    <w:rsid w:val="00032320"/>
    <w:rsid w:val="000354B4"/>
    <w:rsid w:val="00035C50"/>
    <w:rsid w:val="000457A1"/>
    <w:rsid w:val="00047C6A"/>
    <w:rsid w:val="00050001"/>
    <w:rsid w:val="000518D3"/>
    <w:rsid w:val="00052041"/>
    <w:rsid w:val="0005326A"/>
    <w:rsid w:val="00056590"/>
    <w:rsid w:val="000618FB"/>
    <w:rsid w:val="0006266D"/>
    <w:rsid w:val="00065506"/>
    <w:rsid w:val="000662CB"/>
    <w:rsid w:val="0007099C"/>
    <w:rsid w:val="0007382E"/>
    <w:rsid w:val="00074700"/>
    <w:rsid w:val="00075522"/>
    <w:rsid w:val="00076096"/>
    <w:rsid w:val="000766E1"/>
    <w:rsid w:val="00077FF6"/>
    <w:rsid w:val="00080D82"/>
    <w:rsid w:val="00081692"/>
    <w:rsid w:val="00082C46"/>
    <w:rsid w:val="000843E4"/>
    <w:rsid w:val="00085A0E"/>
    <w:rsid w:val="00087548"/>
    <w:rsid w:val="00093E7E"/>
    <w:rsid w:val="0009497C"/>
    <w:rsid w:val="00095AFC"/>
    <w:rsid w:val="000A1830"/>
    <w:rsid w:val="000A1CBF"/>
    <w:rsid w:val="000A2533"/>
    <w:rsid w:val="000A3DE4"/>
    <w:rsid w:val="000A4121"/>
    <w:rsid w:val="000A4AA3"/>
    <w:rsid w:val="000A550E"/>
    <w:rsid w:val="000A7717"/>
    <w:rsid w:val="000A7CFE"/>
    <w:rsid w:val="000B0145"/>
    <w:rsid w:val="000B0960"/>
    <w:rsid w:val="000B1A55"/>
    <w:rsid w:val="000B1EDF"/>
    <w:rsid w:val="000B20BB"/>
    <w:rsid w:val="000B2EE5"/>
    <w:rsid w:val="000B2EF6"/>
    <w:rsid w:val="000B2FA6"/>
    <w:rsid w:val="000B4AA0"/>
    <w:rsid w:val="000B7353"/>
    <w:rsid w:val="000C2553"/>
    <w:rsid w:val="000C38C3"/>
    <w:rsid w:val="000C5C42"/>
    <w:rsid w:val="000C758B"/>
    <w:rsid w:val="000D05F6"/>
    <w:rsid w:val="000D09FD"/>
    <w:rsid w:val="000D0F50"/>
    <w:rsid w:val="000D1436"/>
    <w:rsid w:val="000D371A"/>
    <w:rsid w:val="000D44FB"/>
    <w:rsid w:val="000D574B"/>
    <w:rsid w:val="000D6CFC"/>
    <w:rsid w:val="000E098F"/>
    <w:rsid w:val="000E0A9D"/>
    <w:rsid w:val="000E2D93"/>
    <w:rsid w:val="000E3A9E"/>
    <w:rsid w:val="000E537B"/>
    <w:rsid w:val="000E57D0"/>
    <w:rsid w:val="000E67EE"/>
    <w:rsid w:val="000E7858"/>
    <w:rsid w:val="000F1688"/>
    <w:rsid w:val="000F259D"/>
    <w:rsid w:val="000F3305"/>
    <w:rsid w:val="000F39CA"/>
    <w:rsid w:val="000F7D22"/>
    <w:rsid w:val="001013E6"/>
    <w:rsid w:val="0010302B"/>
    <w:rsid w:val="00104F07"/>
    <w:rsid w:val="00107210"/>
    <w:rsid w:val="00107927"/>
    <w:rsid w:val="00107A33"/>
    <w:rsid w:val="00110E26"/>
    <w:rsid w:val="00111321"/>
    <w:rsid w:val="00111F0D"/>
    <w:rsid w:val="00117BD6"/>
    <w:rsid w:val="001200CB"/>
    <w:rsid w:val="001206C2"/>
    <w:rsid w:val="00120F63"/>
    <w:rsid w:val="00121978"/>
    <w:rsid w:val="0012284F"/>
    <w:rsid w:val="00123422"/>
    <w:rsid w:val="00124B6A"/>
    <w:rsid w:val="0012606F"/>
    <w:rsid w:val="0012680B"/>
    <w:rsid w:val="00126F72"/>
    <w:rsid w:val="0013241B"/>
    <w:rsid w:val="00136D4C"/>
    <w:rsid w:val="00142538"/>
    <w:rsid w:val="00142BB9"/>
    <w:rsid w:val="00144600"/>
    <w:rsid w:val="00144F96"/>
    <w:rsid w:val="00146B7B"/>
    <w:rsid w:val="00151EAC"/>
    <w:rsid w:val="00153528"/>
    <w:rsid w:val="00153F1B"/>
    <w:rsid w:val="00154E68"/>
    <w:rsid w:val="001609D3"/>
    <w:rsid w:val="00162548"/>
    <w:rsid w:val="00163B95"/>
    <w:rsid w:val="00163F11"/>
    <w:rsid w:val="00164FBD"/>
    <w:rsid w:val="0016577C"/>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E33"/>
    <w:rsid w:val="00191A74"/>
    <w:rsid w:val="0019219A"/>
    <w:rsid w:val="00192DE9"/>
    <w:rsid w:val="00193582"/>
    <w:rsid w:val="00194CAC"/>
    <w:rsid w:val="00195077"/>
    <w:rsid w:val="001974C3"/>
    <w:rsid w:val="001A033F"/>
    <w:rsid w:val="001A08AA"/>
    <w:rsid w:val="001A59CB"/>
    <w:rsid w:val="001B034E"/>
    <w:rsid w:val="001B48ED"/>
    <w:rsid w:val="001B6595"/>
    <w:rsid w:val="001B7991"/>
    <w:rsid w:val="001C0523"/>
    <w:rsid w:val="001C053A"/>
    <w:rsid w:val="001C1409"/>
    <w:rsid w:val="001C1D9C"/>
    <w:rsid w:val="001C2AE6"/>
    <w:rsid w:val="001C4A89"/>
    <w:rsid w:val="001C6160"/>
    <w:rsid w:val="001C6177"/>
    <w:rsid w:val="001D0363"/>
    <w:rsid w:val="001D0CD7"/>
    <w:rsid w:val="001D12B4"/>
    <w:rsid w:val="001D6441"/>
    <w:rsid w:val="001D7D94"/>
    <w:rsid w:val="001E0A28"/>
    <w:rsid w:val="001E4218"/>
    <w:rsid w:val="001E659F"/>
    <w:rsid w:val="001E724E"/>
    <w:rsid w:val="001F0078"/>
    <w:rsid w:val="001F0B20"/>
    <w:rsid w:val="001F2A64"/>
    <w:rsid w:val="001F54E5"/>
    <w:rsid w:val="00200A62"/>
    <w:rsid w:val="002013CB"/>
    <w:rsid w:val="002036D9"/>
    <w:rsid w:val="00203740"/>
    <w:rsid w:val="00204DB5"/>
    <w:rsid w:val="002062DB"/>
    <w:rsid w:val="00211C8C"/>
    <w:rsid w:val="002138EA"/>
    <w:rsid w:val="002139EA"/>
    <w:rsid w:val="00213F84"/>
    <w:rsid w:val="0021494B"/>
    <w:rsid w:val="00214FBD"/>
    <w:rsid w:val="00215FF9"/>
    <w:rsid w:val="002206D9"/>
    <w:rsid w:val="00221E08"/>
    <w:rsid w:val="00222897"/>
    <w:rsid w:val="00222A63"/>
    <w:rsid w:val="00222B0C"/>
    <w:rsid w:val="00223F35"/>
    <w:rsid w:val="002306AA"/>
    <w:rsid w:val="00235394"/>
    <w:rsid w:val="00235577"/>
    <w:rsid w:val="002371B2"/>
    <w:rsid w:val="002435CA"/>
    <w:rsid w:val="0024469F"/>
    <w:rsid w:val="00250B5B"/>
    <w:rsid w:val="00252DB8"/>
    <w:rsid w:val="002537BC"/>
    <w:rsid w:val="00255C58"/>
    <w:rsid w:val="00260EC7"/>
    <w:rsid w:val="00261539"/>
    <w:rsid w:val="0026179F"/>
    <w:rsid w:val="00262F8E"/>
    <w:rsid w:val="0026605F"/>
    <w:rsid w:val="002666AE"/>
    <w:rsid w:val="00270B25"/>
    <w:rsid w:val="00271A64"/>
    <w:rsid w:val="002733D7"/>
    <w:rsid w:val="00274E1A"/>
    <w:rsid w:val="00275F70"/>
    <w:rsid w:val="002775B1"/>
    <w:rsid w:val="002775B9"/>
    <w:rsid w:val="00277CB2"/>
    <w:rsid w:val="002811C4"/>
    <w:rsid w:val="00282213"/>
    <w:rsid w:val="00284016"/>
    <w:rsid w:val="00284439"/>
    <w:rsid w:val="002858BF"/>
    <w:rsid w:val="00292FE9"/>
    <w:rsid w:val="002939AF"/>
    <w:rsid w:val="00294491"/>
    <w:rsid w:val="00294BDE"/>
    <w:rsid w:val="00296405"/>
    <w:rsid w:val="002A0CED"/>
    <w:rsid w:val="002A1D43"/>
    <w:rsid w:val="002A332E"/>
    <w:rsid w:val="002A491D"/>
    <w:rsid w:val="002A4CD0"/>
    <w:rsid w:val="002A7DA6"/>
    <w:rsid w:val="002B21DD"/>
    <w:rsid w:val="002B516C"/>
    <w:rsid w:val="002B5E1D"/>
    <w:rsid w:val="002B60C1"/>
    <w:rsid w:val="002C4B52"/>
    <w:rsid w:val="002C51DB"/>
    <w:rsid w:val="002D0234"/>
    <w:rsid w:val="002D03E5"/>
    <w:rsid w:val="002D36EB"/>
    <w:rsid w:val="002D3C32"/>
    <w:rsid w:val="002D3D84"/>
    <w:rsid w:val="002D3E6E"/>
    <w:rsid w:val="002D416F"/>
    <w:rsid w:val="002D515E"/>
    <w:rsid w:val="002D62D9"/>
    <w:rsid w:val="002D6BDF"/>
    <w:rsid w:val="002D7E2E"/>
    <w:rsid w:val="002D7EA9"/>
    <w:rsid w:val="002E06E5"/>
    <w:rsid w:val="002E1836"/>
    <w:rsid w:val="002E2CE9"/>
    <w:rsid w:val="002E3BF7"/>
    <w:rsid w:val="002E403E"/>
    <w:rsid w:val="002E456A"/>
    <w:rsid w:val="002E4C74"/>
    <w:rsid w:val="002F158C"/>
    <w:rsid w:val="002F382A"/>
    <w:rsid w:val="002F3858"/>
    <w:rsid w:val="002F4093"/>
    <w:rsid w:val="002F4F91"/>
    <w:rsid w:val="002F5636"/>
    <w:rsid w:val="002F68BE"/>
    <w:rsid w:val="003022A5"/>
    <w:rsid w:val="00302BB0"/>
    <w:rsid w:val="00303EEB"/>
    <w:rsid w:val="003062EF"/>
    <w:rsid w:val="00307E51"/>
    <w:rsid w:val="00311363"/>
    <w:rsid w:val="003137B9"/>
    <w:rsid w:val="0031472F"/>
    <w:rsid w:val="00315867"/>
    <w:rsid w:val="00316071"/>
    <w:rsid w:val="00317D8E"/>
    <w:rsid w:val="00321150"/>
    <w:rsid w:val="00321E07"/>
    <w:rsid w:val="003251C6"/>
    <w:rsid w:val="00325580"/>
    <w:rsid w:val="003260D7"/>
    <w:rsid w:val="003261DD"/>
    <w:rsid w:val="003273FB"/>
    <w:rsid w:val="00330C6F"/>
    <w:rsid w:val="00331526"/>
    <w:rsid w:val="0033642F"/>
    <w:rsid w:val="00336697"/>
    <w:rsid w:val="0033724A"/>
    <w:rsid w:val="00337656"/>
    <w:rsid w:val="00337831"/>
    <w:rsid w:val="00337DA7"/>
    <w:rsid w:val="003402AE"/>
    <w:rsid w:val="003415DC"/>
    <w:rsid w:val="003418CB"/>
    <w:rsid w:val="00344C0E"/>
    <w:rsid w:val="0034550D"/>
    <w:rsid w:val="00352BE5"/>
    <w:rsid w:val="00355873"/>
    <w:rsid w:val="0035660F"/>
    <w:rsid w:val="00356D72"/>
    <w:rsid w:val="00357AAE"/>
    <w:rsid w:val="00357FE7"/>
    <w:rsid w:val="00360C0B"/>
    <w:rsid w:val="00362319"/>
    <w:rsid w:val="003628B9"/>
    <w:rsid w:val="003629A4"/>
    <w:rsid w:val="00362D8F"/>
    <w:rsid w:val="00365211"/>
    <w:rsid w:val="00367607"/>
    <w:rsid w:val="00367724"/>
    <w:rsid w:val="003710BA"/>
    <w:rsid w:val="003720F4"/>
    <w:rsid w:val="00373BB5"/>
    <w:rsid w:val="003770F6"/>
    <w:rsid w:val="00377DC0"/>
    <w:rsid w:val="0038106E"/>
    <w:rsid w:val="003838D6"/>
    <w:rsid w:val="00383E37"/>
    <w:rsid w:val="00384408"/>
    <w:rsid w:val="00385DA3"/>
    <w:rsid w:val="00393042"/>
    <w:rsid w:val="00393C01"/>
    <w:rsid w:val="00394AD5"/>
    <w:rsid w:val="0039642D"/>
    <w:rsid w:val="00397871"/>
    <w:rsid w:val="00397AD7"/>
    <w:rsid w:val="003A1E0F"/>
    <w:rsid w:val="003A2361"/>
    <w:rsid w:val="003A2500"/>
    <w:rsid w:val="003A2E40"/>
    <w:rsid w:val="003A33BF"/>
    <w:rsid w:val="003B0158"/>
    <w:rsid w:val="003B204F"/>
    <w:rsid w:val="003B3BB7"/>
    <w:rsid w:val="003B40B6"/>
    <w:rsid w:val="003B56DB"/>
    <w:rsid w:val="003B755E"/>
    <w:rsid w:val="003C0346"/>
    <w:rsid w:val="003C0ABE"/>
    <w:rsid w:val="003C1710"/>
    <w:rsid w:val="003C228E"/>
    <w:rsid w:val="003C51E7"/>
    <w:rsid w:val="003C6893"/>
    <w:rsid w:val="003C6DE2"/>
    <w:rsid w:val="003D1A9A"/>
    <w:rsid w:val="003D1EFD"/>
    <w:rsid w:val="003D2079"/>
    <w:rsid w:val="003D28BF"/>
    <w:rsid w:val="003D2F2A"/>
    <w:rsid w:val="003D3A65"/>
    <w:rsid w:val="003D4215"/>
    <w:rsid w:val="003D4C47"/>
    <w:rsid w:val="003D6557"/>
    <w:rsid w:val="003D7719"/>
    <w:rsid w:val="003E1935"/>
    <w:rsid w:val="003E40EE"/>
    <w:rsid w:val="003E4D91"/>
    <w:rsid w:val="003E7AE1"/>
    <w:rsid w:val="003F04B3"/>
    <w:rsid w:val="003F1C1B"/>
    <w:rsid w:val="003F3A2F"/>
    <w:rsid w:val="003F4C2C"/>
    <w:rsid w:val="003F5A2E"/>
    <w:rsid w:val="00401132"/>
    <w:rsid w:val="00401144"/>
    <w:rsid w:val="00404831"/>
    <w:rsid w:val="00407118"/>
    <w:rsid w:val="00407661"/>
    <w:rsid w:val="00410314"/>
    <w:rsid w:val="00412063"/>
    <w:rsid w:val="00412AB1"/>
    <w:rsid w:val="00412EB1"/>
    <w:rsid w:val="00413DDE"/>
    <w:rsid w:val="00414118"/>
    <w:rsid w:val="00414495"/>
    <w:rsid w:val="00416084"/>
    <w:rsid w:val="00417A32"/>
    <w:rsid w:val="00421BFA"/>
    <w:rsid w:val="004236D7"/>
    <w:rsid w:val="00424F8C"/>
    <w:rsid w:val="004271BA"/>
    <w:rsid w:val="00430497"/>
    <w:rsid w:val="00430EA5"/>
    <w:rsid w:val="00432944"/>
    <w:rsid w:val="004346D3"/>
    <w:rsid w:val="00434DC1"/>
    <w:rsid w:val="004350F4"/>
    <w:rsid w:val="004412A0"/>
    <w:rsid w:val="00441E53"/>
    <w:rsid w:val="00442081"/>
    <w:rsid w:val="00442337"/>
    <w:rsid w:val="00446408"/>
    <w:rsid w:val="004470B4"/>
    <w:rsid w:val="004500AA"/>
    <w:rsid w:val="0045027E"/>
    <w:rsid w:val="00450F27"/>
    <w:rsid w:val="004510E5"/>
    <w:rsid w:val="00451862"/>
    <w:rsid w:val="00454800"/>
    <w:rsid w:val="00454D87"/>
    <w:rsid w:val="00456A75"/>
    <w:rsid w:val="0046188F"/>
    <w:rsid w:val="00461E39"/>
    <w:rsid w:val="00462D3A"/>
    <w:rsid w:val="00463521"/>
    <w:rsid w:val="00463789"/>
    <w:rsid w:val="00470821"/>
    <w:rsid w:val="00470E28"/>
    <w:rsid w:val="00471125"/>
    <w:rsid w:val="0047437A"/>
    <w:rsid w:val="0047544B"/>
    <w:rsid w:val="004772D5"/>
    <w:rsid w:val="004775BA"/>
    <w:rsid w:val="00480E42"/>
    <w:rsid w:val="00481B19"/>
    <w:rsid w:val="00482E27"/>
    <w:rsid w:val="00482EB1"/>
    <w:rsid w:val="00484C5D"/>
    <w:rsid w:val="0048543E"/>
    <w:rsid w:val="0048677E"/>
    <w:rsid w:val="004868C1"/>
    <w:rsid w:val="0048728E"/>
    <w:rsid w:val="0048750F"/>
    <w:rsid w:val="00487A70"/>
    <w:rsid w:val="00491309"/>
    <w:rsid w:val="00491504"/>
    <w:rsid w:val="00491E54"/>
    <w:rsid w:val="004923A6"/>
    <w:rsid w:val="00495E3B"/>
    <w:rsid w:val="004A1E6A"/>
    <w:rsid w:val="004A258E"/>
    <w:rsid w:val="004A37AC"/>
    <w:rsid w:val="004A495F"/>
    <w:rsid w:val="004A6111"/>
    <w:rsid w:val="004A7544"/>
    <w:rsid w:val="004B01AA"/>
    <w:rsid w:val="004B04C2"/>
    <w:rsid w:val="004B6B0F"/>
    <w:rsid w:val="004C0314"/>
    <w:rsid w:val="004C54E5"/>
    <w:rsid w:val="004C618A"/>
    <w:rsid w:val="004C6824"/>
    <w:rsid w:val="004C75A4"/>
    <w:rsid w:val="004C7D21"/>
    <w:rsid w:val="004C7DC8"/>
    <w:rsid w:val="004D21B0"/>
    <w:rsid w:val="004D33B8"/>
    <w:rsid w:val="004D3870"/>
    <w:rsid w:val="004D3C2B"/>
    <w:rsid w:val="004D4AD9"/>
    <w:rsid w:val="004D5F73"/>
    <w:rsid w:val="004D737D"/>
    <w:rsid w:val="004D74EC"/>
    <w:rsid w:val="004E2659"/>
    <w:rsid w:val="004E275F"/>
    <w:rsid w:val="004E39EE"/>
    <w:rsid w:val="004E475C"/>
    <w:rsid w:val="004E56E0"/>
    <w:rsid w:val="004E6041"/>
    <w:rsid w:val="004E7329"/>
    <w:rsid w:val="004E7E8D"/>
    <w:rsid w:val="004F1C31"/>
    <w:rsid w:val="004F27CA"/>
    <w:rsid w:val="004F2CB0"/>
    <w:rsid w:val="004F4505"/>
    <w:rsid w:val="004F6923"/>
    <w:rsid w:val="005017F7"/>
    <w:rsid w:val="00501FA7"/>
    <w:rsid w:val="00503401"/>
    <w:rsid w:val="005034DC"/>
    <w:rsid w:val="00505BFA"/>
    <w:rsid w:val="005071A0"/>
    <w:rsid w:val="005071B4"/>
    <w:rsid w:val="00507687"/>
    <w:rsid w:val="005117A9"/>
    <w:rsid w:val="00511B1B"/>
    <w:rsid w:val="00511F57"/>
    <w:rsid w:val="00515412"/>
    <w:rsid w:val="00515CBE"/>
    <w:rsid w:val="00515E2B"/>
    <w:rsid w:val="00522A7E"/>
    <w:rsid w:val="00522F20"/>
    <w:rsid w:val="005245B0"/>
    <w:rsid w:val="00524606"/>
    <w:rsid w:val="00526A08"/>
    <w:rsid w:val="00526C1E"/>
    <w:rsid w:val="005308DB"/>
    <w:rsid w:val="00530A2E"/>
    <w:rsid w:val="00530FBE"/>
    <w:rsid w:val="00531DAD"/>
    <w:rsid w:val="00533159"/>
    <w:rsid w:val="005339DB"/>
    <w:rsid w:val="00534C89"/>
    <w:rsid w:val="00534EFC"/>
    <w:rsid w:val="0053547C"/>
    <w:rsid w:val="00535EFA"/>
    <w:rsid w:val="00537205"/>
    <w:rsid w:val="005377AD"/>
    <w:rsid w:val="00541573"/>
    <w:rsid w:val="00541F82"/>
    <w:rsid w:val="005433F1"/>
    <w:rsid w:val="0054348A"/>
    <w:rsid w:val="0054368B"/>
    <w:rsid w:val="005502E8"/>
    <w:rsid w:val="005515A3"/>
    <w:rsid w:val="00551D95"/>
    <w:rsid w:val="00556B8E"/>
    <w:rsid w:val="00557354"/>
    <w:rsid w:val="00560F1D"/>
    <w:rsid w:val="0056171A"/>
    <w:rsid w:val="0056183D"/>
    <w:rsid w:val="00564A34"/>
    <w:rsid w:val="00570126"/>
    <w:rsid w:val="005701DF"/>
    <w:rsid w:val="00571777"/>
    <w:rsid w:val="005753D5"/>
    <w:rsid w:val="00580FF5"/>
    <w:rsid w:val="0058519C"/>
    <w:rsid w:val="005852B5"/>
    <w:rsid w:val="00586940"/>
    <w:rsid w:val="005900EE"/>
    <w:rsid w:val="00590166"/>
    <w:rsid w:val="00590413"/>
    <w:rsid w:val="005912F0"/>
    <w:rsid w:val="0059149A"/>
    <w:rsid w:val="005920C5"/>
    <w:rsid w:val="005956EE"/>
    <w:rsid w:val="005A01F9"/>
    <w:rsid w:val="005A083E"/>
    <w:rsid w:val="005A320B"/>
    <w:rsid w:val="005A3BA6"/>
    <w:rsid w:val="005B4802"/>
    <w:rsid w:val="005B4ACA"/>
    <w:rsid w:val="005B669A"/>
    <w:rsid w:val="005B6939"/>
    <w:rsid w:val="005C08F4"/>
    <w:rsid w:val="005C1276"/>
    <w:rsid w:val="005C1493"/>
    <w:rsid w:val="005C1EA6"/>
    <w:rsid w:val="005C2B6D"/>
    <w:rsid w:val="005C3921"/>
    <w:rsid w:val="005C6049"/>
    <w:rsid w:val="005D0B99"/>
    <w:rsid w:val="005D18BC"/>
    <w:rsid w:val="005D20DF"/>
    <w:rsid w:val="005D308E"/>
    <w:rsid w:val="005D3A48"/>
    <w:rsid w:val="005D7784"/>
    <w:rsid w:val="005D7AF8"/>
    <w:rsid w:val="005E17BF"/>
    <w:rsid w:val="005E366A"/>
    <w:rsid w:val="005E4A0C"/>
    <w:rsid w:val="005E4DDC"/>
    <w:rsid w:val="005E5CF0"/>
    <w:rsid w:val="005F2145"/>
    <w:rsid w:val="005F35DC"/>
    <w:rsid w:val="005F79AA"/>
    <w:rsid w:val="005F7F5D"/>
    <w:rsid w:val="006016E1"/>
    <w:rsid w:val="00602D27"/>
    <w:rsid w:val="00607263"/>
    <w:rsid w:val="00607850"/>
    <w:rsid w:val="00612381"/>
    <w:rsid w:val="006140F8"/>
    <w:rsid w:val="006144A1"/>
    <w:rsid w:val="00615EBB"/>
    <w:rsid w:val="00616096"/>
    <w:rsid w:val="006160A2"/>
    <w:rsid w:val="00616E6F"/>
    <w:rsid w:val="00617509"/>
    <w:rsid w:val="0062292E"/>
    <w:rsid w:val="00624AD3"/>
    <w:rsid w:val="006253B6"/>
    <w:rsid w:val="00626EFE"/>
    <w:rsid w:val="006302AA"/>
    <w:rsid w:val="006363BD"/>
    <w:rsid w:val="00636CDC"/>
    <w:rsid w:val="0064105D"/>
    <w:rsid w:val="006412DC"/>
    <w:rsid w:val="00642BC6"/>
    <w:rsid w:val="00644790"/>
    <w:rsid w:val="00645BEB"/>
    <w:rsid w:val="00646A73"/>
    <w:rsid w:val="006501AF"/>
    <w:rsid w:val="00650DDE"/>
    <w:rsid w:val="006536FC"/>
    <w:rsid w:val="00654046"/>
    <w:rsid w:val="00654165"/>
    <w:rsid w:val="00654872"/>
    <w:rsid w:val="00654D9F"/>
    <w:rsid w:val="00654E77"/>
    <w:rsid w:val="0065505B"/>
    <w:rsid w:val="006670AC"/>
    <w:rsid w:val="0067090B"/>
    <w:rsid w:val="00671226"/>
    <w:rsid w:val="00672307"/>
    <w:rsid w:val="006726AD"/>
    <w:rsid w:val="006808C6"/>
    <w:rsid w:val="00682668"/>
    <w:rsid w:val="00692A68"/>
    <w:rsid w:val="00695D85"/>
    <w:rsid w:val="00697A5C"/>
    <w:rsid w:val="00697D53"/>
    <w:rsid w:val="006A2F07"/>
    <w:rsid w:val="006A30A2"/>
    <w:rsid w:val="006A32BA"/>
    <w:rsid w:val="006A365E"/>
    <w:rsid w:val="006A6D23"/>
    <w:rsid w:val="006A7B3E"/>
    <w:rsid w:val="006B0ACD"/>
    <w:rsid w:val="006B1AC5"/>
    <w:rsid w:val="006B25DE"/>
    <w:rsid w:val="006B2D2C"/>
    <w:rsid w:val="006B2E05"/>
    <w:rsid w:val="006B605B"/>
    <w:rsid w:val="006B72C7"/>
    <w:rsid w:val="006B760B"/>
    <w:rsid w:val="006B7764"/>
    <w:rsid w:val="006C1C3B"/>
    <w:rsid w:val="006C35F8"/>
    <w:rsid w:val="006C4E43"/>
    <w:rsid w:val="006C62EB"/>
    <w:rsid w:val="006C643E"/>
    <w:rsid w:val="006D2932"/>
    <w:rsid w:val="006D31A6"/>
    <w:rsid w:val="006D3671"/>
    <w:rsid w:val="006D4163"/>
    <w:rsid w:val="006D4176"/>
    <w:rsid w:val="006E0A73"/>
    <w:rsid w:val="006E0FEE"/>
    <w:rsid w:val="006E1EF1"/>
    <w:rsid w:val="006E2144"/>
    <w:rsid w:val="006E30F7"/>
    <w:rsid w:val="006E329B"/>
    <w:rsid w:val="006E6182"/>
    <w:rsid w:val="006E6C11"/>
    <w:rsid w:val="006F1176"/>
    <w:rsid w:val="006F20B3"/>
    <w:rsid w:val="006F215B"/>
    <w:rsid w:val="006F4AF1"/>
    <w:rsid w:val="006F7C0C"/>
    <w:rsid w:val="00700755"/>
    <w:rsid w:val="0070646B"/>
    <w:rsid w:val="00706CCC"/>
    <w:rsid w:val="00707CBD"/>
    <w:rsid w:val="00710385"/>
    <w:rsid w:val="007130A2"/>
    <w:rsid w:val="00715463"/>
    <w:rsid w:val="00716AC0"/>
    <w:rsid w:val="00721B03"/>
    <w:rsid w:val="007274AA"/>
    <w:rsid w:val="00730655"/>
    <w:rsid w:val="00731D77"/>
    <w:rsid w:val="00732360"/>
    <w:rsid w:val="0073390A"/>
    <w:rsid w:val="00734E64"/>
    <w:rsid w:val="00736B37"/>
    <w:rsid w:val="00740A35"/>
    <w:rsid w:val="00741D0A"/>
    <w:rsid w:val="00743B5A"/>
    <w:rsid w:val="00744834"/>
    <w:rsid w:val="00745996"/>
    <w:rsid w:val="007520B4"/>
    <w:rsid w:val="007549D3"/>
    <w:rsid w:val="007637E0"/>
    <w:rsid w:val="00763C96"/>
    <w:rsid w:val="007642F9"/>
    <w:rsid w:val="007655D5"/>
    <w:rsid w:val="00772CCA"/>
    <w:rsid w:val="00773E4F"/>
    <w:rsid w:val="007763C1"/>
    <w:rsid w:val="00777E82"/>
    <w:rsid w:val="00781359"/>
    <w:rsid w:val="00785074"/>
    <w:rsid w:val="007856BC"/>
    <w:rsid w:val="00785B4D"/>
    <w:rsid w:val="00786921"/>
    <w:rsid w:val="00792B0C"/>
    <w:rsid w:val="00792D70"/>
    <w:rsid w:val="00797676"/>
    <w:rsid w:val="007A0938"/>
    <w:rsid w:val="007A1EAA"/>
    <w:rsid w:val="007A30A6"/>
    <w:rsid w:val="007A79FD"/>
    <w:rsid w:val="007B0B9D"/>
    <w:rsid w:val="007B26E3"/>
    <w:rsid w:val="007B5A43"/>
    <w:rsid w:val="007B709B"/>
    <w:rsid w:val="007B70C7"/>
    <w:rsid w:val="007C0B00"/>
    <w:rsid w:val="007C1343"/>
    <w:rsid w:val="007C143E"/>
    <w:rsid w:val="007C42F7"/>
    <w:rsid w:val="007C5EF1"/>
    <w:rsid w:val="007C7BF5"/>
    <w:rsid w:val="007D126D"/>
    <w:rsid w:val="007D19B7"/>
    <w:rsid w:val="007D6B4B"/>
    <w:rsid w:val="007D75E5"/>
    <w:rsid w:val="007D773E"/>
    <w:rsid w:val="007E0203"/>
    <w:rsid w:val="007E066E"/>
    <w:rsid w:val="007E1356"/>
    <w:rsid w:val="007E20FC"/>
    <w:rsid w:val="007E38A9"/>
    <w:rsid w:val="007E7062"/>
    <w:rsid w:val="007F0E1E"/>
    <w:rsid w:val="007F1B6F"/>
    <w:rsid w:val="007F29A7"/>
    <w:rsid w:val="007F5C33"/>
    <w:rsid w:val="008004B4"/>
    <w:rsid w:val="0080468C"/>
    <w:rsid w:val="00804BD6"/>
    <w:rsid w:val="00805BE8"/>
    <w:rsid w:val="00807407"/>
    <w:rsid w:val="0080781B"/>
    <w:rsid w:val="00807A57"/>
    <w:rsid w:val="008114C3"/>
    <w:rsid w:val="008123C9"/>
    <w:rsid w:val="00816078"/>
    <w:rsid w:val="008177E3"/>
    <w:rsid w:val="00821369"/>
    <w:rsid w:val="008217D2"/>
    <w:rsid w:val="0082247C"/>
    <w:rsid w:val="008230A3"/>
    <w:rsid w:val="00823AA9"/>
    <w:rsid w:val="008246C8"/>
    <w:rsid w:val="00824788"/>
    <w:rsid w:val="00824EF4"/>
    <w:rsid w:val="008255B9"/>
    <w:rsid w:val="00825CD8"/>
    <w:rsid w:val="00825D14"/>
    <w:rsid w:val="00826383"/>
    <w:rsid w:val="00827324"/>
    <w:rsid w:val="0083444C"/>
    <w:rsid w:val="008355EA"/>
    <w:rsid w:val="00835D12"/>
    <w:rsid w:val="00837458"/>
    <w:rsid w:val="00837543"/>
    <w:rsid w:val="00837AAE"/>
    <w:rsid w:val="00837C19"/>
    <w:rsid w:val="00840390"/>
    <w:rsid w:val="00841EA3"/>
    <w:rsid w:val="008429AD"/>
    <w:rsid w:val="008429DB"/>
    <w:rsid w:val="008466C1"/>
    <w:rsid w:val="00846B33"/>
    <w:rsid w:val="008506ED"/>
    <w:rsid w:val="00850C75"/>
    <w:rsid w:val="00850E39"/>
    <w:rsid w:val="008527A4"/>
    <w:rsid w:val="0085477A"/>
    <w:rsid w:val="00855107"/>
    <w:rsid w:val="00855173"/>
    <w:rsid w:val="008557D9"/>
    <w:rsid w:val="00855BF7"/>
    <w:rsid w:val="00856214"/>
    <w:rsid w:val="008562BF"/>
    <w:rsid w:val="00862089"/>
    <w:rsid w:val="00864454"/>
    <w:rsid w:val="00864DA4"/>
    <w:rsid w:val="00866D5B"/>
    <w:rsid w:val="00866FF5"/>
    <w:rsid w:val="00867146"/>
    <w:rsid w:val="0087332D"/>
    <w:rsid w:val="00873E1F"/>
    <w:rsid w:val="00874C16"/>
    <w:rsid w:val="0088119E"/>
    <w:rsid w:val="008824EC"/>
    <w:rsid w:val="00886ADC"/>
    <w:rsid w:val="00886D1F"/>
    <w:rsid w:val="00891EE1"/>
    <w:rsid w:val="008923C6"/>
    <w:rsid w:val="00893987"/>
    <w:rsid w:val="0089572A"/>
    <w:rsid w:val="008961FC"/>
    <w:rsid w:val="008963EF"/>
    <w:rsid w:val="0089688E"/>
    <w:rsid w:val="00897A91"/>
    <w:rsid w:val="008A1033"/>
    <w:rsid w:val="008A1FBE"/>
    <w:rsid w:val="008A400D"/>
    <w:rsid w:val="008B014C"/>
    <w:rsid w:val="008B1F6A"/>
    <w:rsid w:val="008B27A2"/>
    <w:rsid w:val="008B3194"/>
    <w:rsid w:val="008B3F41"/>
    <w:rsid w:val="008B5AE7"/>
    <w:rsid w:val="008C34E4"/>
    <w:rsid w:val="008C531F"/>
    <w:rsid w:val="008C60E9"/>
    <w:rsid w:val="008C6543"/>
    <w:rsid w:val="008C7F1C"/>
    <w:rsid w:val="008D1B7C"/>
    <w:rsid w:val="008D4357"/>
    <w:rsid w:val="008D5427"/>
    <w:rsid w:val="008D6657"/>
    <w:rsid w:val="008D7A47"/>
    <w:rsid w:val="008E1F60"/>
    <w:rsid w:val="008E20E9"/>
    <w:rsid w:val="008E23CA"/>
    <w:rsid w:val="008E307E"/>
    <w:rsid w:val="008F4DD1"/>
    <w:rsid w:val="008F6056"/>
    <w:rsid w:val="009007E1"/>
    <w:rsid w:val="00902618"/>
    <w:rsid w:val="00902C07"/>
    <w:rsid w:val="0090374B"/>
    <w:rsid w:val="0090428E"/>
    <w:rsid w:val="00905625"/>
    <w:rsid w:val="00905804"/>
    <w:rsid w:val="009100B5"/>
    <w:rsid w:val="009101E2"/>
    <w:rsid w:val="00911F74"/>
    <w:rsid w:val="0091374E"/>
    <w:rsid w:val="00913CDC"/>
    <w:rsid w:val="00913DB0"/>
    <w:rsid w:val="00914676"/>
    <w:rsid w:val="00914CD1"/>
    <w:rsid w:val="0091521C"/>
    <w:rsid w:val="00915D73"/>
    <w:rsid w:val="00916077"/>
    <w:rsid w:val="009170A2"/>
    <w:rsid w:val="00917896"/>
    <w:rsid w:val="009208A6"/>
    <w:rsid w:val="00920B66"/>
    <w:rsid w:val="0092133B"/>
    <w:rsid w:val="00923EDA"/>
    <w:rsid w:val="00924514"/>
    <w:rsid w:val="00924641"/>
    <w:rsid w:val="00927316"/>
    <w:rsid w:val="0092748E"/>
    <w:rsid w:val="00931301"/>
    <w:rsid w:val="0093133D"/>
    <w:rsid w:val="0093276D"/>
    <w:rsid w:val="00933D12"/>
    <w:rsid w:val="00933F8C"/>
    <w:rsid w:val="00934B01"/>
    <w:rsid w:val="00937065"/>
    <w:rsid w:val="0093771C"/>
    <w:rsid w:val="00937E8A"/>
    <w:rsid w:val="00940285"/>
    <w:rsid w:val="009415B0"/>
    <w:rsid w:val="009425FD"/>
    <w:rsid w:val="00943DE1"/>
    <w:rsid w:val="00946AA9"/>
    <w:rsid w:val="00947E7E"/>
    <w:rsid w:val="0095139A"/>
    <w:rsid w:val="00952736"/>
    <w:rsid w:val="009532FE"/>
    <w:rsid w:val="00953E16"/>
    <w:rsid w:val="009542AC"/>
    <w:rsid w:val="0095561F"/>
    <w:rsid w:val="00956AB6"/>
    <w:rsid w:val="00961BB2"/>
    <w:rsid w:val="00962108"/>
    <w:rsid w:val="009638D6"/>
    <w:rsid w:val="00963966"/>
    <w:rsid w:val="0097408E"/>
    <w:rsid w:val="00974BB2"/>
    <w:rsid w:val="00974FA7"/>
    <w:rsid w:val="009756E5"/>
    <w:rsid w:val="00977A8C"/>
    <w:rsid w:val="0098271B"/>
    <w:rsid w:val="00983910"/>
    <w:rsid w:val="009855B5"/>
    <w:rsid w:val="009860F8"/>
    <w:rsid w:val="00990CE8"/>
    <w:rsid w:val="009932AC"/>
    <w:rsid w:val="00994351"/>
    <w:rsid w:val="00995889"/>
    <w:rsid w:val="0099628A"/>
    <w:rsid w:val="00996570"/>
    <w:rsid w:val="00996A8F"/>
    <w:rsid w:val="00996FC2"/>
    <w:rsid w:val="009A1DBF"/>
    <w:rsid w:val="009A36FA"/>
    <w:rsid w:val="009A3ADC"/>
    <w:rsid w:val="009A52FB"/>
    <w:rsid w:val="009A68E6"/>
    <w:rsid w:val="009A7123"/>
    <w:rsid w:val="009A7598"/>
    <w:rsid w:val="009B0EDE"/>
    <w:rsid w:val="009B1DF8"/>
    <w:rsid w:val="009B37B2"/>
    <w:rsid w:val="009B3D20"/>
    <w:rsid w:val="009B5418"/>
    <w:rsid w:val="009C048C"/>
    <w:rsid w:val="009C0727"/>
    <w:rsid w:val="009C1703"/>
    <w:rsid w:val="009C2679"/>
    <w:rsid w:val="009C3C80"/>
    <w:rsid w:val="009C4682"/>
    <w:rsid w:val="009C492F"/>
    <w:rsid w:val="009C5D14"/>
    <w:rsid w:val="009D13A0"/>
    <w:rsid w:val="009D2FF2"/>
    <w:rsid w:val="009D3226"/>
    <w:rsid w:val="009D3385"/>
    <w:rsid w:val="009D42A2"/>
    <w:rsid w:val="009D5303"/>
    <w:rsid w:val="009D793C"/>
    <w:rsid w:val="009E16A9"/>
    <w:rsid w:val="009E2E52"/>
    <w:rsid w:val="009E35DA"/>
    <w:rsid w:val="009E375F"/>
    <w:rsid w:val="009E39D4"/>
    <w:rsid w:val="009E433B"/>
    <w:rsid w:val="009E5401"/>
    <w:rsid w:val="009F0AB6"/>
    <w:rsid w:val="009F23A9"/>
    <w:rsid w:val="00A00FB2"/>
    <w:rsid w:val="00A0583F"/>
    <w:rsid w:val="00A0758F"/>
    <w:rsid w:val="00A1257F"/>
    <w:rsid w:val="00A1570A"/>
    <w:rsid w:val="00A211B4"/>
    <w:rsid w:val="00A21620"/>
    <w:rsid w:val="00A27488"/>
    <w:rsid w:val="00A3303E"/>
    <w:rsid w:val="00A33DDF"/>
    <w:rsid w:val="00A34547"/>
    <w:rsid w:val="00A3483F"/>
    <w:rsid w:val="00A375D7"/>
    <w:rsid w:val="00A376B7"/>
    <w:rsid w:val="00A40FCB"/>
    <w:rsid w:val="00A41BF5"/>
    <w:rsid w:val="00A42E01"/>
    <w:rsid w:val="00A438F9"/>
    <w:rsid w:val="00A44778"/>
    <w:rsid w:val="00A449B0"/>
    <w:rsid w:val="00A469E7"/>
    <w:rsid w:val="00A46C9B"/>
    <w:rsid w:val="00A50F97"/>
    <w:rsid w:val="00A524CC"/>
    <w:rsid w:val="00A53B0A"/>
    <w:rsid w:val="00A54A3A"/>
    <w:rsid w:val="00A55398"/>
    <w:rsid w:val="00A55653"/>
    <w:rsid w:val="00A604A4"/>
    <w:rsid w:val="00A61B7D"/>
    <w:rsid w:val="00A61F4F"/>
    <w:rsid w:val="00A64176"/>
    <w:rsid w:val="00A6605B"/>
    <w:rsid w:val="00A66ADC"/>
    <w:rsid w:val="00A7147D"/>
    <w:rsid w:val="00A71744"/>
    <w:rsid w:val="00A75B20"/>
    <w:rsid w:val="00A81B15"/>
    <w:rsid w:val="00A81EB2"/>
    <w:rsid w:val="00A8264B"/>
    <w:rsid w:val="00A837FF"/>
    <w:rsid w:val="00A84052"/>
    <w:rsid w:val="00A849AA"/>
    <w:rsid w:val="00A84DC8"/>
    <w:rsid w:val="00A85DBC"/>
    <w:rsid w:val="00A87FEB"/>
    <w:rsid w:val="00A93F9F"/>
    <w:rsid w:val="00A9420E"/>
    <w:rsid w:val="00A949E4"/>
    <w:rsid w:val="00A97648"/>
    <w:rsid w:val="00AA1CFD"/>
    <w:rsid w:val="00AA2239"/>
    <w:rsid w:val="00AA33D2"/>
    <w:rsid w:val="00AA3D2B"/>
    <w:rsid w:val="00AB0C57"/>
    <w:rsid w:val="00AB1195"/>
    <w:rsid w:val="00AB4182"/>
    <w:rsid w:val="00AB5E72"/>
    <w:rsid w:val="00AB7CDA"/>
    <w:rsid w:val="00AC04D3"/>
    <w:rsid w:val="00AC27DB"/>
    <w:rsid w:val="00AC2F98"/>
    <w:rsid w:val="00AC6D6B"/>
    <w:rsid w:val="00AC720D"/>
    <w:rsid w:val="00AD10C1"/>
    <w:rsid w:val="00AD21B8"/>
    <w:rsid w:val="00AD48FC"/>
    <w:rsid w:val="00AD588C"/>
    <w:rsid w:val="00AD5E3F"/>
    <w:rsid w:val="00AD7736"/>
    <w:rsid w:val="00AE10CE"/>
    <w:rsid w:val="00AE3303"/>
    <w:rsid w:val="00AE6A1E"/>
    <w:rsid w:val="00AE70D4"/>
    <w:rsid w:val="00AE7868"/>
    <w:rsid w:val="00AF0407"/>
    <w:rsid w:val="00AF049B"/>
    <w:rsid w:val="00AF4D8B"/>
    <w:rsid w:val="00AF734D"/>
    <w:rsid w:val="00AF7607"/>
    <w:rsid w:val="00B067CA"/>
    <w:rsid w:val="00B078D0"/>
    <w:rsid w:val="00B07BF4"/>
    <w:rsid w:val="00B12B26"/>
    <w:rsid w:val="00B13420"/>
    <w:rsid w:val="00B140BE"/>
    <w:rsid w:val="00B16398"/>
    <w:rsid w:val="00B163F8"/>
    <w:rsid w:val="00B23A1D"/>
    <w:rsid w:val="00B23B40"/>
    <w:rsid w:val="00B2472D"/>
    <w:rsid w:val="00B247AB"/>
    <w:rsid w:val="00B24CA0"/>
    <w:rsid w:val="00B2549F"/>
    <w:rsid w:val="00B30EA3"/>
    <w:rsid w:val="00B31F3E"/>
    <w:rsid w:val="00B31F6C"/>
    <w:rsid w:val="00B339F4"/>
    <w:rsid w:val="00B34011"/>
    <w:rsid w:val="00B405A3"/>
    <w:rsid w:val="00B40EB5"/>
    <w:rsid w:val="00B4108D"/>
    <w:rsid w:val="00B4161A"/>
    <w:rsid w:val="00B55D12"/>
    <w:rsid w:val="00B57265"/>
    <w:rsid w:val="00B57528"/>
    <w:rsid w:val="00B62EC1"/>
    <w:rsid w:val="00B63247"/>
    <w:rsid w:val="00B633AE"/>
    <w:rsid w:val="00B63774"/>
    <w:rsid w:val="00B6524F"/>
    <w:rsid w:val="00B65A81"/>
    <w:rsid w:val="00B665D2"/>
    <w:rsid w:val="00B6737C"/>
    <w:rsid w:val="00B67BB3"/>
    <w:rsid w:val="00B7214D"/>
    <w:rsid w:val="00B73729"/>
    <w:rsid w:val="00B74372"/>
    <w:rsid w:val="00B74A35"/>
    <w:rsid w:val="00B75525"/>
    <w:rsid w:val="00B76C4E"/>
    <w:rsid w:val="00B80283"/>
    <w:rsid w:val="00B8095F"/>
    <w:rsid w:val="00B80B0C"/>
    <w:rsid w:val="00B80B11"/>
    <w:rsid w:val="00B8153B"/>
    <w:rsid w:val="00B81C6D"/>
    <w:rsid w:val="00B82D20"/>
    <w:rsid w:val="00B831AE"/>
    <w:rsid w:val="00B8446C"/>
    <w:rsid w:val="00B87725"/>
    <w:rsid w:val="00B922B5"/>
    <w:rsid w:val="00B92E51"/>
    <w:rsid w:val="00BA1AA1"/>
    <w:rsid w:val="00BA1B29"/>
    <w:rsid w:val="00BA259A"/>
    <w:rsid w:val="00BA259C"/>
    <w:rsid w:val="00BA29D3"/>
    <w:rsid w:val="00BA307F"/>
    <w:rsid w:val="00BA5280"/>
    <w:rsid w:val="00BA7104"/>
    <w:rsid w:val="00BB1038"/>
    <w:rsid w:val="00BB14F1"/>
    <w:rsid w:val="00BB1E48"/>
    <w:rsid w:val="00BB38C4"/>
    <w:rsid w:val="00BB572E"/>
    <w:rsid w:val="00BB59EE"/>
    <w:rsid w:val="00BB74FD"/>
    <w:rsid w:val="00BC0AF8"/>
    <w:rsid w:val="00BC1734"/>
    <w:rsid w:val="00BC5982"/>
    <w:rsid w:val="00BC5D9C"/>
    <w:rsid w:val="00BC60BF"/>
    <w:rsid w:val="00BC7BDF"/>
    <w:rsid w:val="00BD28BF"/>
    <w:rsid w:val="00BD6404"/>
    <w:rsid w:val="00BD6E7F"/>
    <w:rsid w:val="00BE33AE"/>
    <w:rsid w:val="00BE4C6C"/>
    <w:rsid w:val="00BF046F"/>
    <w:rsid w:val="00BF1180"/>
    <w:rsid w:val="00BF65C8"/>
    <w:rsid w:val="00BF6A27"/>
    <w:rsid w:val="00C01D50"/>
    <w:rsid w:val="00C02FB0"/>
    <w:rsid w:val="00C056DC"/>
    <w:rsid w:val="00C072C4"/>
    <w:rsid w:val="00C07BA3"/>
    <w:rsid w:val="00C10CDA"/>
    <w:rsid w:val="00C1329B"/>
    <w:rsid w:val="00C13F5E"/>
    <w:rsid w:val="00C14E19"/>
    <w:rsid w:val="00C1572F"/>
    <w:rsid w:val="00C16428"/>
    <w:rsid w:val="00C21E29"/>
    <w:rsid w:val="00C23C73"/>
    <w:rsid w:val="00C24C05"/>
    <w:rsid w:val="00C24D2F"/>
    <w:rsid w:val="00C26222"/>
    <w:rsid w:val="00C26E2A"/>
    <w:rsid w:val="00C31283"/>
    <w:rsid w:val="00C33C48"/>
    <w:rsid w:val="00C340E5"/>
    <w:rsid w:val="00C35AA7"/>
    <w:rsid w:val="00C402FD"/>
    <w:rsid w:val="00C41BA8"/>
    <w:rsid w:val="00C43BA1"/>
    <w:rsid w:val="00C43DAB"/>
    <w:rsid w:val="00C47DB6"/>
    <w:rsid w:val="00C47F08"/>
    <w:rsid w:val="00C514A6"/>
    <w:rsid w:val="00C51C9F"/>
    <w:rsid w:val="00C54E33"/>
    <w:rsid w:val="00C5739F"/>
    <w:rsid w:val="00C57CF0"/>
    <w:rsid w:val="00C57DE6"/>
    <w:rsid w:val="00C60649"/>
    <w:rsid w:val="00C60DB4"/>
    <w:rsid w:val="00C621B8"/>
    <w:rsid w:val="00C63557"/>
    <w:rsid w:val="00C6398D"/>
    <w:rsid w:val="00C63F16"/>
    <w:rsid w:val="00C649BD"/>
    <w:rsid w:val="00C65891"/>
    <w:rsid w:val="00C66AC9"/>
    <w:rsid w:val="00C724D3"/>
    <w:rsid w:val="00C739D9"/>
    <w:rsid w:val="00C74998"/>
    <w:rsid w:val="00C76A04"/>
    <w:rsid w:val="00C7716E"/>
    <w:rsid w:val="00C771EC"/>
    <w:rsid w:val="00C77258"/>
    <w:rsid w:val="00C777BC"/>
    <w:rsid w:val="00C77DD9"/>
    <w:rsid w:val="00C83BE6"/>
    <w:rsid w:val="00C83CC1"/>
    <w:rsid w:val="00C85354"/>
    <w:rsid w:val="00C855C0"/>
    <w:rsid w:val="00C86273"/>
    <w:rsid w:val="00C86ABA"/>
    <w:rsid w:val="00C86CB3"/>
    <w:rsid w:val="00C90B76"/>
    <w:rsid w:val="00C91D33"/>
    <w:rsid w:val="00C943F3"/>
    <w:rsid w:val="00C9493A"/>
    <w:rsid w:val="00C966E4"/>
    <w:rsid w:val="00C96F79"/>
    <w:rsid w:val="00CA08C6"/>
    <w:rsid w:val="00CA0A77"/>
    <w:rsid w:val="00CA20A8"/>
    <w:rsid w:val="00CA261F"/>
    <w:rsid w:val="00CA2729"/>
    <w:rsid w:val="00CA3057"/>
    <w:rsid w:val="00CA3A7B"/>
    <w:rsid w:val="00CA3E89"/>
    <w:rsid w:val="00CA45F8"/>
    <w:rsid w:val="00CA4BE9"/>
    <w:rsid w:val="00CA6543"/>
    <w:rsid w:val="00CB0305"/>
    <w:rsid w:val="00CB33C7"/>
    <w:rsid w:val="00CB35AD"/>
    <w:rsid w:val="00CB4E00"/>
    <w:rsid w:val="00CB60ED"/>
    <w:rsid w:val="00CB6DA7"/>
    <w:rsid w:val="00CB7E4C"/>
    <w:rsid w:val="00CC0303"/>
    <w:rsid w:val="00CC21CF"/>
    <w:rsid w:val="00CC25B4"/>
    <w:rsid w:val="00CC2606"/>
    <w:rsid w:val="00CC2B46"/>
    <w:rsid w:val="00CC495A"/>
    <w:rsid w:val="00CC5F88"/>
    <w:rsid w:val="00CC69C8"/>
    <w:rsid w:val="00CC77A2"/>
    <w:rsid w:val="00CC7B4E"/>
    <w:rsid w:val="00CD096B"/>
    <w:rsid w:val="00CD13D3"/>
    <w:rsid w:val="00CD292F"/>
    <w:rsid w:val="00CD307E"/>
    <w:rsid w:val="00CD5FCE"/>
    <w:rsid w:val="00CD629F"/>
    <w:rsid w:val="00CD6A1B"/>
    <w:rsid w:val="00CE0A7F"/>
    <w:rsid w:val="00CE10CC"/>
    <w:rsid w:val="00CE1718"/>
    <w:rsid w:val="00CF1EE9"/>
    <w:rsid w:val="00CF212D"/>
    <w:rsid w:val="00CF383C"/>
    <w:rsid w:val="00CF4156"/>
    <w:rsid w:val="00D0036C"/>
    <w:rsid w:val="00D03D00"/>
    <w:rsid w:val="00D05120"/>
    <w:rsid w:val="00D05C30"/>
    <w:rsid w:val="00D064E2"/>
    <w:rsid w:val="00D10052"/>
    <w:rsid w:val="00D11359"/>
    <w:rsid w:val="00D11510"/>
    <w:rsid w:val="00D17C7B"/>
    <w:rsid w:val="00D17FFB"/>
    <w:rsid w:val="00D22D21"/>
    <w:rsid w:val="00D3188C"/>
    <w:rsid w:val="00D33834"/>
    <w:rsid w:val="00D35F9B"/>
    <w:rsid w:val="00D36B69"/>
    <w:rsid w:val="00D408DD"/>
    <w:rsid w:val="00D4229B"/>
    <w:rsid w:val="00D4283C"/>
    <w:rsid w:val="00D45CC0"/>
    <w:rsid w:val="00D45D72"/>
    <w:rsid w:val="00D520E4"/>
    <w:rsid w:val="00D52BF2"/>
    <w:rsid w:val="00D531BD"/>
    <w:rsid w:val="00D53A38"/>
    <w:rsid w:val="00D56007"/>
    <w:rsid w:val="00D575DD"/>
    <w:rsid w:val="00D57C28"/>
    <w:rsid w:val="00D57DFA"/>
    <w:rsid w:val="00D607E8"/>
    <w:rsid w:val="00D60971"/>
    <w:rsid w:val="00D62488"/>
    <w:rsid w:val="00D6417A"/>
    <w:rsid w:val="00D67FCF"/>
    <w:rsid w:val="00D701CE"/>
    <w:rsid w:val="00D709CE"/>
    <w:rsid w:val="00D71F73"/>
    <w:rsid w:val="00D74DEA"/>
    <w:rsid w:val="00D75F9D"/>
    <w:rsid w:val="00D76C48"/>
    <w:rsid w:val="00D80193"/>
    <w:rsid w:val="00D80786"/>
    <w:rsid w:val="00D80964"/>
    <w:rsid w:val="00D81CAB"/>
    <w:rsid w:val="00D8375F"/>
    <w:rsid w:val="00D843E2"/>
    <w:rsid w:val="00D8576F"/>
    <w:rsid w:val="00D85BD1"/>
    <w:rsid w:val="00D8677F"/>
    <w:rsid w:val="00D873A0"/>
    <w:rsid w:val="00D97C18"/>
    <w:rsid w:val="00D97F0C"/>
    <w:rsid w:val="00DA030B"/>
    <w:rsid w:val="00DA0F7E"/>
    <w:rsid w:val="00DA12EF"/>
    <w:rsid w:val="00DA3A86"/>
    <w:rsid w:val="00DA4F5C"/>
    <w:rsid w:val="00DA7FEF"/>
    <w:rsid w:val="00DB054E"/>
    <w:rsid w:val="00DB6C14"/>
    <w:rsid w:val="00DB6E5F"/>
    <w:rsid w:val="00DB7412"/>
    <w:rsid w:val="00DC00DC"/>
    <w:rsid w:val="00DC2500"/>
    <w:rsid w:val="00DC29AF"/>
    <w:rsid w:val="00DC4F72"/>
    <w:rsid w:val="00DC6275"/>
    <w:rsid w:val="00DC7075"/>
    <w:rsid w:val="00DC77DC"/>
    <w:rsid w:val="00DD0453"/>
    <w:rsid w:val="00DD0C2C"/>
    <w:rsid w:val="00DD0DCC"/>
    <w:rsid w:val="00DD19DE"/>
    <w:rsid w:val="00DD20E5"/>
    <w:rsid w:val="00DD28BC"/>
    <w:rsid w:val="00DD3949"/>
    <w:rsid w:val="00DD4941"/>
    <w:rsid w:val="00DE31F0"/>
    <w:rsid w:val="00DE3D1C"/>
    <w:rsid w:val="00DE4928"/>
    <w:rsid w:val="00DE774D"/>
    <w:rsid w:val="00DF14A8"/>
    <w:rsid w:val="00DF4C55"/>
    <w:rsid w:val="00DF4EEC"/>
    <w:rsid w:val="00DF5026"/>
    <w:rsid w:val="00E0227D"/>
    <w:rsid w:val="00E04B84"/>
    <w:rsid w:val="00E05314"/>
    <w:rsid w:val="00E06466"/>
    <w:rsid w:val="00E06835"/>
    <w:rsid w:val="00E06888"/>
    <w:rsid w:val="00E06FDA"/>
    <w:rsid w:val="00E07819"/>
    <w:rsid w:val="00E11042"/>
    <w:rsid w:val="00E1123A"/>
    <w:rsid w:val="00E118E0"/>
    <w:rsid w:val="00E160A5"/>
    <w:rsid w:val="00E16CDA"/>
    <w:rsid w:val="00E1713D"/>
    <w:rsid w:val="00E2003C"/>
    <w:rsid w:val="00E201A2"/>
    <w:rsid w:val="00E20232"/>
    <w:rsid w:val="00E20A43"/>
    <w:rsid w:val="00E23898"/>
    <w:rsid w:val="00E241CF"/>
    <w:rsid w:val="00E25B8B"/>
    <w:rsid w:val="00E25D18"/>
    <w:rsid w:val="00E25EB1"/>
    <w:rsid w:val="00E26893"/>
    <w:rsid w:val="00E30F77"/>
    <w:rsid w:val="00E311C4"/>
    <w:rsid w:val="00E319F1"/>
    <w:rsid w:val="00E33CD2"/>
    <w:rsid w:val="00E355B0"/>
    <w:rsid w:val="00E40E90"/>
    <w:rsid w:val="00E4114B"/>
    <w:rsid w:val="00E45C7E"/>
    <w:rsid w:val="00E51298"/>
    <w:rsid w:val="00E531EB"/>
    <w:rsid w:val="00E54874"/>
    <w:rsid w:val="00E54B6F"/>
    <w:rsid w:val="00E5543C"/>
    <w:rsid w:val="00E55ACA"/>
    <w:rsid w:val="00E563F1"/>
    <w:rsid w:val="00E57084"/>
    <w:rsid w:val="00E5738C"/>
    <w:rsid w:val="00E57B74"/>
    <w:rsid w:val="00E63D3F"/>
    <w:rsid w:val="00E648C1"/>
    <w:rsid w:val="00E65BC6"/>
    <w:rsid w:val="00E661FF"/>
    <w:rsid w:val="00E663E6"/>
    <w:rsid w:val="00E67894"/>
    <w:rsid w:val="00E713FC"/>
    <w:rsid w:val="00E726EB"/>
    <w:rsid w:val="00E72CF1"/>
    <w:rsid w:val="00E755FC"/>
    <w:rsid w:val="00E80B52"/>
    <w:rsid w:val="00E824C3"/>
    <w:rsid w:val="00E83BE7"/>
    <w:rsid w:val="00E840B3"/>
    <w:rsid w:val="00E84D10"/>
    <w:rsid w:val="00E8629F"/>
    <w:rsid w:val="00E907A5"/>
    <w:rsid w:val="00E91008"/>
    <w:rsid w:val="00E92758"/>
    <w:rsid w:val="00E9374E"/>
    <w:rsid w:val="00E94A0E"/>
    <w:rsid w:val="00E94F54"/>
    <w:rsid w:val="00E97142"/>
    <w:rsid w:val="00E97AD5"/>
    <w:rsid w:val="00EA0541"/>
    <w:rsid w:val="00EA1111"/>
    <w:rsid w:val="00EA1349"/>
    <w:rsid w:val="00EA1D23"/>
    <w:rsid w:val="00EA32AB"/>
    <w:rsid w:val="00EA33FC"/>
    <w:rsid w:val="00EA3B4F"/>
    <w:rsid w:val="00EA3C24"/>
    <w:rsid w:val="00EA73DF"/>
    <w:rsid w:val="00EB0C61"/>
    <w:rsid w:val="00EB107E"/>
    <w:rsid w:val="00EB2778"/>
    <w:rsid w:val="00EB3972"/>
    <w:rsid w:val="00EB47C4"/>
    <w:rsid w:val="00EB61AE"/>
    <w:rsid w:val="00EB6872"/>
    <w:rsid w:val="00EC0489"/>
    <w:rsid w:val="00EC1D84"/>
    <w:rsid w:val="00EC322D"/>
    <w:rsid w:val="00EC4C82"/>
    <w:rsid w:val="00EC54CD"/>
    <w:rsid w:val="00EC7591"/>
    <w:rsid w:val="00EC7D5E"/>
    <w:rsid w:val="00ED2F00"/>
    <w:rsid w:val="00ED383A"/>
    <w:rsid w:val="00ED39F8"/>
    <w:rsid w:val="00ED3D43"/>
    <w:rsid w:val="00ED53E3"/>
    <w:rsid w:val="00ED70CE"/>
    <w:rsid w:val="00EE0CFB"/>
    <w:rsid w:val="00EE1080"/>
    <w:rsid w:val="00EF1EC5"/>
    <w:rsid w:val="00EF4C88"/>
    <w:rsid w:val="00EF5278"/>
    <w:rsid w:val="00EF55EB"/>
    <w:rsid w:val="00EF7A9D"/>
    <w:rsid w:val="00F00DCC"/>
    <w:rsid w:val="00F0156F"/>
    <w:rsid w:val="00F03B95"/>
    <w:rsid w:val="00F05AC8"/>
    <w:rsid w:val="00F05E96"/>
    <w:rsid w:val="00F07167"/>
    <w:rsid w:val="00F072D8"/>
    <w:rsid w:val="00F07CE0"/>
    <w:rsid w:val="00F115F5"/>
    <w:rsid w:val="00F118B0"/>
    <w:rsid w:val="00F11E40"/>
    <w:rsid w:val="00F13D05"/>
    <w:rsid w:val="00F14693"/>
    <w:rsid w:val="00F1679D"/>
    <w:rsid w:val="00F1682C"/>
    <w:rsid w:val="00F17AFA"/>
    <w:rsid w:val="00F20B91"/>
    <w:rsid w:val="00F21139"/>
    <w:rsid w:val="00F24B8B"/>
    <w:rsid w:val="00F30D2E"/>
    <w:rsid w:val="00F328CD"/>
    <w:rsid w:val="00F35516"/>
    <w:rsid w:val="00F35790"/>
    <w:rsid w:val="00F40094"/>
    <w:rsid w:val="00F4136D"/>
    <w:rsid w:val="00F4212E"/>
    <w:rsid w:val="00F4213F"/>
    <w:rsid w:val="00F42C20"/>
    <w:rsid w:val="00F43BB2"/>
    <w:rsid w:val="00F43E34"/>
    <w:rsid w:val="00F44B5F"/>
    <w:rsid w:val="00F4512A"/>
    <w:rsid w:val="00F470B2"/>
    <w:rsid w:val="00F5219F"/>
    <w:rsid w:val="00F53053"/>
    <w:rsid w:val="00F53FE2"/>
    <w:rsid w:val="00F575FF"/>
    <w:rsid w:val="00F60F8B"/>
    <w:rsid w:val="00F618EF"/>
    <w:rsid w:val="00F61DDD"/>
    <w:rsid w:val="00F62057"/>
    <w:rsid w:val="00F65582"/>
    <w:rsid w:val="00F66E75"/>
    <w:rsid w:val="00F67735"/>
    <w:rsid w:val="00F724BC"/>
    <w:rsid w:val="00F7257A"/>
    <w:rsid w:val="00F75708"/>
    <w:rsid w:val="00F77EB0"/>
    <w:rsid w:val="00F828A4"/>
    <w:rsid w:val="00F82BF6"/>
    <w:rsid w:val="00F83A96"/>
    <w:rsid w:val="00F85FDA"/>
    <w:rsid w:val="00F874DC"/>
    <w:rsid w:val="00F87AFD"/>
    <w:rsid w:val="00F87CDD"/>
    <w:rsid w:val="00F87D5F"/>
    <w:rsid w:val="00F917C0"/>
    <w:rsid w:val="00F91C1B"/>
    <w:rsid w:val="00F933F0"/>
    <w:rsid w:val="00F93644"/>
    <w:rsid w:val="00F937A3"/>
    <w:rsid w:val="00F94715"/>
    <w:rsid w:val="00F96A3D"/>
    <w:rsid w:val="00F97FB7"/>
    <w:rsid w:val="00FA4718"/>
    <w:rsid w:val="00FA5477"/>
    <w:rsid w:val="00FA5848"/>
    <w:rsid w:val="00FA5FFD"/>
    <w:rsid w:val="00FA6899"/>
    <w:rsid w:val="00FA7F3D"/>
    <w:rsid w:val="00FB0509"/>
    <w:rsid w:val="00FB267D"/>
    <w:rsid w:val="00FB35DF"/>
    <w:rsid w:val="00FB38D8"/>
    <w:rsid w:val="00FB49C0"/>
    <w:rsid w:val="00FC051F"/>
    <w:rsid w:val="00FC0596"/>
    <w:rsid w:val="00FC06FF"/>
    <w:rsid w:val="00FC2342"/>
    <w:rsid w:val="00FC2656"/>
    <w:rsid w:val="00FC3EE6"/>
    <w:rsid w:val="00FC4DC9"/>
    <w:rsid w:val="00FC69B4"/>
    <w:rsid w:val="00FC6C59"/>
    <w:rsid w:val="00FD0330"/>
    <w:rsid w:val="00FD0694"/>
    <w:rsid w:val="00FD25BE"/>
    <w:rsid w:val="00FD2E70"/>
    <w:rsid w:val="00FD701C"/>
    <w:rsid w:val="00FD760B"/>
    <w:rsid w:val="00FD7AA7"/>
    <w:rsid w:val="00FE13B5"/>
    <w:rsid w:val="00FE2AB4"/>
    <w:rsid w:val="00FE5750"/>
    <w:rsid w:val="00FF1FCB"/>
    <w:rsid w:val="00FF3FA0"/>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205223664">
      <w:bodyDiv w:val="1"/>
      <w:marLeft w:val="0"/>
      <w:marRight w:val="0"/>
      <w:marTop w:val="0"/>
      <w:marBottom w:val="0"/>
      <w:divBdr>
        <w:top w:val="none" w:sz="0" w:space="0" w:color="auto"/>
        <w:left w:val="none" w:sz="0" w:space="0" w:color="auto"/>
        <w:bottom w:val="none" w:sz="0" w:space="0" w:color="auto"/>
        <w:right w:val="none" w:sz="0" w:space="0" w:color="auto"/>
      </w:divBdr>
      <w:divsChild>
        <w:div w:id="1817142585">
          <w:marLeft w:val="0"/>
          <w:marRight w:val="0"/>
          <w:marTop w:val="0"/>
          <w:marBottom w:val="0"/>
          <w:divBdr>
            <w:top w:val="none" w:sz="0" w:space="0" w:color="auto"/>
            <w:left w:val="none" w:sz="0" w:space="0" w:color="auto"/>
            <w:bottom w:val="none" w:sz="0" w:space="0" w:color="auto"/>
            <w:right w:val="none" w:sz="0" w:space="0" w:color="auto"/>
          </w:divBdr>
        </w:div>
        <w:div w:id="1373992180">
          <w:marLeft w:val="0"/>
          <w:marRight w:val="0"/>
          <w:marTop w:val="0"/>
          <w:marBottom w:val="0"/>
          <w:divBdr>
            <w:top w:val="none" w:sz="0" w:space="0" w:color="auto"/>
            <w:left w:val="none" w:sz="0" w:space="0" w:color="auto"/>
            <w:bottom w:val="none" w:sz="0" w:space="0" w:color="auto"/>
            <w:right w:val="none" w:sz="0" w:space="0" w:color="auto"/>
          </w:divBdr>
        </w:div>
        <w:div w:id="1646010056">
          <w:marLeft w:val="0"/>
          <w:marRight w:val="0"/>
          <w:marTop w:val="0"/>
          <w:marBottom w:val="0"/>
          <w:divBdr>
            <w:top w:val="none" w:sz="0" w:space="0" w:color="auto"/>
            <w:left w:val="none" w:sz="0" w:space="0" w:color="auto"/>
            <w:bottom w:val="none" w:sz="0" w:space="0" w:color="auto"/>
            <w:right w:val="none" w:sz="0" w:space="0" w:color="auto"/>
          </w:divBdr>
        </w:div>
        <w:div w:id="2071222869">
          <w:marLeft w:val="0"/>
          <w:marRight w:val="0"/>
          <w:marTop w:val="0"/>
          <w:marBottom w:val="0"/>
          <w:divBdr>
            <w:top w:val="none" w:sz="0" w:space="0" w:color="auto"/>
            <w:left w:val="none" w:sz="0" w:space="0" w:color="auto"/>
            <w:bottom w:val="none" w:sz="0" w:space="0" w:color="auto"/>
            <w:right w:val="none" w:sz="0" w:space="0" w:color="auto"/>
          </w:divBdr>
        </w:div>
        <w:div w:id="258022779">
          <w:marLeft w:val="0"/>
          <w:marRight w:val="0"/>
          <w:marTop w:val="0"/>
          <w:marBottom w:val="0"/>
          <w:divBdr>
            <w:top w:val="none" w:sz="0" w:space="0" w:color="auto"/>
            <w:left w:val="none" w:sz="0" w:space="0" w:color="auto"/>
            <w:bottom w:val="none" w:sz="0" w:space="0" w:color="auto"/>
            <w:right w:val="none" w:sz="0" w:space="0" w:color="auto"/>
          </w:divBdr>
        </w:div>
        <w:div w:id="2024701483">
          <w:marLeft w:val="0"/>
          <w:marRight w:val="0"/>
          <w:marTop w:val="0"/>
          <w:marBottom w:val="0"/>
          <w:divBdr>
            <w:top w:val="none" w:sz="0" w:space="0" w:color="auto"/>
            <w:left w:val="none" w:sz="0" w:space="0" w:color="auto"/>
            <w:bottom w:val="none" w:sz="0" w:space="0" w:color="auto"/>
            <w:right w:val="none" w:sz="0" w:space="0" w:color="auto"/>
          </w:divBdr>
        </w:div>
        <w:div w:id="1378165509">
          <w:marLeft w:val="0"/>
          <w:marRight w:val="0"/>
          <w:marTop w:val="0"/>
          <w:marBottom w:val="0"/>
          <w:divBdr>
            <w:top w:val="none" w:sz="0" w:space="0" w:color="auto"/>
            <w:left w:val="none" w:sz="0" w:space="0" w:color="auto"/>
            <w:bottom w:val="none" w:sz="0" w:space="0" w:color="auto"/>
            <w:right w:val="none" w:sz="0" w:space="0" w:color="auto"/>
          </w:divBdr>
        </w:div>
        <w:div w:id="2028407294">
          <w:marLeft w:val="0"/>
          <w:marRight w:val="0"/>
          <w:marTop w:val="0"/>
          <w:marBottom w:val="0"/>
          <w:divBdr>
            <w:top w:val="none" w:sz="0" w:space="0" w:color="auto"/>
            <w:left w:val="none" w:sz="0" w:space="0" w:color="auto"/>
            <w:bottom w:val="none" w:sz="0" w:space="0" w:color="auto"/>
            <w:right w:val="none" w:sz="0" w:space="0" w:color="auto"/>
          </w:divBdr>
        </w:div>
        <w:div w:id="1889804927">
          <w:marLeft w:val="0"/>
          <w:marRight w:val="0"/>
          <w:marTop w:val="0"/>
          <w:marBottom w:val="0"/>
          <w:divBdr>
            <w:top w:val="none" w:sz="0" w:space="0" w:color="auto"/>
            <w:left w:val="none" w:sz="0" w:space="0" w:color="auto"/>
            <w:bottom w:val="none" w:sz="0" w:space="0" w:color="auto"/>
            <w:right w:val="none" w:sz="0" w:space="0" w:color="auto"/>
          </w:divBdr>
        </w:div>
        <w:div w:id="1780951804">
          <w:marLeft w:val="0"/>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783423503">
      <w:bodyDiv w:val="1"/>
      <w:marLeft w:val="0"/>
      <w:marRight w:val="0"/>
      <w:marTop w:val="0"/>
      <w:marBottom w:val="0"/>
      <w:divBdr>
        <w:top w:val="none" w:sz="0" w:space="0" w:color="auto"/>
        <w:left w:val="none" w:sz="0" w:space="0" w:color="auto"/>
        <w:bottom w:val="none" w:sz="0" w:space="0" w:color="auto"/>
        <w:right w:val="none" w:sz="0" w:space="0" w:color="auto"/>
      </w:divBdr>
      <w:divsChild>
        <w:div w:id="146482890">
          <w:marLeft w:val="0"/>
          <w:marRight w:val="0"/>
          <w:marTop w:val="0"/>
          <w:marBottom w:val="0"/>
          <w:divBdr>
            <w:top w:val="none" w:sz="0" w:space="0" w:color="auto"/>
            <w:left w:val="none" w:sz="0" w:space="0" w:color="auto"/>
            <w:bottom w:val="none" w:sz="0" w:space="0" w:color="auto"/>
            <w:right w:val="none" w:sz="0" w:space="0" w:color="auto"/>
          </w:divBdr>
        </w:div>
        <w:div w:id="950624426">
          <w:marLeft w:val="0"/>
          <w:marRight w:val="0"/>
          <w:marTop w:val="0"/>
          <w:marBottom w:val="0"/>
          <w:divBdr>
            <w:top w:val="none" w:sz="0" w:space="0" w:color="auto"/>
            <w:left w:val="none" w:sz="0" w:space="0" w:color="auto"/>
            <w:bottom w:val="none" w:sz="0" w:space="0" w:color="auto"/>
            <w:right w:val="none" w:sz="0" w:space="0" w:color="auto"/>
          </w:divBdr>
        </w:div>
        <w:div w:id="1816490218">
          <w:marLeft w:val="0"/>
          <w:marRight w:val="0"/>
          <w:marTop w:val="0"/>
          <w:marBottom w:val="0"/>
          <w:divBdr>
            <w:top w:val="none" w:sz="0" w:space="0" w:color="auto"/>
            <w:left w:val="none" w:sz="0" w:space="0" w:color="auto"/>
            <w:bottom w:val="none" w:sz="0" w:space="0" w:color="auto"/>
            <w:right w:val="none" w:sz="0" w:space="0" w:color="auto"/>
          </w:divBdr>
        </w:div>
        <w:div w:id="1791128787">
          <w:marLeft w:val="0"/>
          <w:marRight w:val="0"/>
          <w:marTop w:val="0"/>
          <w:marBottom w:val="0"/>
          <w:divBdr>
            <w:top w:val="none" w:sz="0" w:space="0" w:color="auto"/>
            <w:left w:val="none" w:sz="0" w:space="0" w:color="auto"/>
            <w:bottom w:val="none" w:sz="0" w:space="0" w:color="auto"/>
            <w:right w:val="none" w:sz="0" w:space="0" w:color="auto"/>
          </w:divBdr>
        </w:div>
        <w:div w:id="1620335539">
          <w:marLeft w:val="0"/>
          <w:marRight w:val="0"/>
          <w:marTop w:val="0"/>
          <w:marBottom w:val="0"/>
          <w:divBdr>
            <w:top w:val="none" w:sz="0" w:space="0" w:color="auto"/>
            <w:left w:val="none" w:sz="0" w:space="0" w:color="auto"/>
            <w:bottom w:val="none" w:sz="0" w:space="0" w:color="auto"/>
            <w:right w:val="none" w:sz="0" w:space="0" w:color="auto"/>
          </w:divBdr>
        </w:div>
        <w:div w:id="347827699">
          <w:marLeft w:val="0"/>
          <w:marRight w:val="0"/>
          <w:marTop w:val="0"/>
          <w:marBottom w:val="0"/>
          <w:divBdr>
            <w:top w:val="none" w:sz="0" w:space="0" w:color="auto"/>
            <w:left w:val="none" w:sz="0" w:space="0" w:color="auto"/>
            <w:bottom w:val="none" w:sz="0" w:space="0" w:color="auto"/>
            <w:right w:val="none" w:sz="0" w:space="0" w:color="auto"/>
          </w:divBdr>
        </w:div>
        <w:div w:id="787357750">
          <w:marLeft w:val="0"/>
          <w:marRight w:val="0"/>
          <w:marTop w:val="0"/>
          <w:marBottom w:val="0"/>
          <w:divBdr>
            <w:top w:val="none" w:sz="0" w:space="0" w:color="auto"/>
            <w:left w:val="none" w:sz="0" w:space="0" w:color="auto"/>
            <w:bottom w:val="none" w:sz="0" w:space="0" w:color="auto"/>
            <w:right w:val="none" w:sz="0" w:space="0" w:color="auto"/>
          </w:divBdr>
        </w:div>
        <w:div w:id="972906550">
          <w:marLeft w:val="0"/>
          <w:marRight w:val="0"/>
          <w:marTop w:val="0"/>
          <w:marBottom w:val="0"/>
          <w:divBdr>
            <w:top w:val="none" w:sz="0" w:space="0" w:color="auto"/>
            <w:left w:val="none" w:sz="0" w:space="0" w:color="auto"/>
            <w:bottom w:val="none" w:sz="0" w:space="0" w:color="auto"/>
            <w:right w:val="none" w:sz="0" w:space="0" w:color="auto"/>
          </w:divBdr>
        </w:div>
        <w:div w:id="541867388">
          <w:marLeft w:val="0"/>
          <w:marRight w:val="0"/>
          <w:marTop w:val="0"/>
          <w:marBottom w:val="0"/>
          <w:divBdr>
            <w:top w:val="none" w:sz="0" w:space="0" w:color="auto"/>
            <w:left w:val="none" w:sz="0" w:space="0" w:color="auto"/>
            <w:bottom w:val="none" w:sz="0" w:space="0" w:color="auto"/>
            <w:right w:val="none" w:sz="0" w:space="0" w:color="auto"/>
          </w:divBdr>
        </w:div>
        <w:div w:id="1239556940">
          <w:marLeft w:val="0"/>
          <w:marRight w:val="0"/>
          <w:marTop w:val="0"/>
          <w:marBottom w:val="0"/>
          <w:divBdr>
            <w:top w:val="none" w:sz="0" w:space="0" w:color="auto"/>
            <w:left w:val="none" w:sz="0" w:space="0" w:color="auto"/>
            <w:bottom w:val="none" w:sz="0" w:space="0" w:color="auto"/>
            <w:right w:val="none" w:sz="0" w:space="0" w:color="auto"/>
          </w:divBdr>
        </w:div>
      </w:divsChild>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232038024">
      <w:bodyDiv w:val="1"/>
      <w:marLeft w:val="0"/>
      <w:marRight w:val="0"/>
      <w:marTop w:val="0"/>
      <w:marBottom w:val="0"/>
      <w:divBdr>
        <w:top w:val="none" w:sz="0" w:space="0" w:color="auto"/>
        <w:left w:val="none" w:sz="0" w:space="0" w:color="auto"/>
        <w:bottom w:val="none" w:sz="0" w:space="0" w:color="auto"/>
        <w:right w:val="none" w:sz="0" w:space="0" w:color="auto"/>
      </w:divBdr>
      <w:divsChild>
        <w:div w:id="1311135533">
          <w:marLeft w:val="0"/>
          <w:marRight w:val="0"/>
          <w:marTop w:val="0"/>
          <w:marBottom w:val="0"/>
          <w:divBdr>
            <w:top w:val="none" w:sz="0" w:space="0" w:color="auto"/>
            <w:left w:val="none" w:sz="0" w:space="0" w:color="auto"/>
            <w:bottom w:val="none" w:sz="0" w:space="0" w:color="auto"/>
            <w:right w:val="none" w:sz="0" w:space="0" w:color="auto"/>
          </w:divBdr>
        </w:div>
        <w:div w:id="7761636">
          <w:marLeft w:val="0"/>
          <w:marRight w:val="0"/>
          <w:marTop w:val="0"/>
          <w:marBottom w:val="0"/>
          <w:divBdr>
            <w:top w:val="none" w:sz="0" w:space="0" w:color="auto"/>
            <w:left w:val="none" w:sz="0" w:space="0" w:color="auto"/>
            <w:bottom w:val="none" w:sz="0" w:space="0" w:color="auto"/>
            <w:right w:val="none" w:sz="0" w:space="0" w:color="auto"/>
          </w:divBdr>
        </w:div>
        <w:div w:id="1053457398">
          <w:marLeft w:val="0"/>
          <w:marRight w:val="0"/>
          <w:marTop w:val="0"/>
          <w:marBottom w:val="0"/>
          <w:divBdr>
            <w:top w:val="none" w:sz="0" w:space="0" w:color="auto"/>
            <w:left w:val="none" w:sz="0" w:space="0" w:color="auto"/>
            <w:bottom w:val="none" w:sz="0" w:space="0" w:color="auto"/>
            <w:right w:val="none" w:sz="0" w:space="0" w:color="auto"/>
          </w:divBdr>
        </w:div>
        <w:div w:id="1030180076">
          <w:marLeft w:val="0"/>
          <w:marRight w:val="0"/>
          <w:marTop w:val="0"/>
          <w:marBottom w:val="0"/>
          <w:divBdr>
            <w:top w:val="none" w:sz="0" w:space="0" w:color="auto"/>
            <w:left w:val="none" w:sz="0" w:space="0" w:color="auto"/>
            <w:bottom w:val="none" w:sz="0" w:space="0" w:color="auto"/>
            <w:right w:val="none" w:sz="0" w:space="0" w:color="auto"/>
          </w:divBdr>
        </w:div>
        <w:div w:id="471993679">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1467475">
      <w:bodyDiv w:val="1"/>
      <w:marLeft w:val="0"/>
      <w:marRight w:val="0"/>
      <w:marTop w:val="0"/>
      <w:marBottom w:val="0"/>
      <w:divBdr>
        <w:top w:val="none" w:sz="0" w:space="0" w:color="auto"/>
        <w:left w:val="none" w:sz="0" w:space="0" w:color="auto"/>
        <w:bottom w:val="none" w:sz="0" w:space="0" w:color="auto"/>
        <w:right w:val="none" w:sz="0" w:space="0" w:color="auto"/>
      </w:divBdr>
      <w:divsChild>
        <w:div w:id="825438486">
          <w:marLeft w:val="0"/>
          <w:marRight w:val="0"/>
          <w:marTop w:val="0"/>
          <w:marBottom w:val="0"/>
          <w:divBdr>
            <w:top w:val="none" w:sz="0" w:space="0" w:color="auto"/>
            <w:left w:val="none" w:sz="0" w:space="0" w:color="auto"/>
            <w:bottom w:val="none" w:sz="0" w:space="0" w:color="auto"/>
            <w:right w:val="none" w:sz="0" w:space="0" w:color="auto"/>
          </w:divBdr>
        </w:div>
        <w:div w:id="698817520">
          <w:marLeft w:val="0"/>
          <w:marRight w:val="0"/>
          <w:marTop w:val="0"/>
          <w:marBottom w:val="0"/>
          <w:divBdr>
            <w:top w:val="none" w:sz="0" w:space="0" w:color="auto"/>
            <w:left w:val="none" w:sz="0" w:space="0" w:color="auto"/>
            <w:bottom w:val="none" w:sz="0" w:space="0" w:color="auto"/>
            <w:right w:val="none" w:sz="0" w:space="0" w:color="auto"/>
          </w:divBdr>
        </w:div>
        <w:div w:id="1345475904">
          <w:marLeft w:val="0"/>
          <w:marRight w:val="0"/>
          <w:marTop w:val="0"/>
          <w:marBottom w:val="0"/>
          <w:divBdr>
            <w:top w:val="none" w:sz="0" w:space="0" w:color="auto"/>
            <w:left w:val="none" w:sz="0" w:space="0" w:color="auto"/>
            <w:bottom w:val="none" w:sz="0" w:space="0" w:color="auto"/>
            <w:right w:val="none" w:sz="0" w:space="0" w:color="auto"/>
          </w:divBdr>
        </w:div>
        <w:div w:id="741635086">
          <w:marLeft w:val="0"/>
          <w:marRight w:val="0"/>
          <w:marTop w:val="0"/>
          <w:marBottom w:val="0"/>
          <w:divBdr>
            <w:top w:val="none" w:sz="0" w:space="0" w:color="auto"/>
            <w:left w:val="none" w:sz="0" w:space="0" w:color="auto"/>
            <w:bottom w:val="none" w:sz="0" w:space="0" w:color="auto"/>
            <w:right w:val="none" w:sz="0" w:space="0" w:color="auto"/>
          </w:divBdr>
        </w:div>
        <w:div w:id="2011329091">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2024</Words>
  <Characters>11537</Characters>
  <Application>Microsoft Office Word</Application>
  <DocSecurity>0</DocSecurity>
  <Lines>96</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Taekhoon Kim</cp:lastModifiedBy>
  <cp:revision>2</cp:revision>
  <cp:lastPrinted>2019-04-25T01:09:00Z</cp:lastPrinted>
  <dcterms:created xsi:type="dcterms:W3CDTF">2025-10-03T14:09:00Z</dcterms:created>
  <dcterms:modified xsi:type="dcterms:W3CDTF">2025-10-03T14:09:00Z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78684FC09C7457AF744ED33AB65868BB075E55F3AFEC04D3EFC293684F97CCA21596C8BA6C9E7AC50E0C0AC37E76F728A9769B5B963F66142CE8E3093E1EA419</vt:lpwstr>
  </property>
</Properties>
</file>